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422F40">
              <w:rPr>
                <w:rFonts w:ascii="Calibri" w:hAnsi="Calibri" w:cs="Calibri"/>
                <w:noProof/>
                <w:rtl/>
              </w:rPr>
              <w:t>‏י"ח אדר,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422F40">
              <w:rPr>
                <w:rFonts w:ascii="Calibri" w:hAnsi="Calibri" w:cs="Calibri"/>
                <w:noProof/>
                <w:rtl/>
              </w:rPr>
              <w:t>‏18 מרץ,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B122A8" w:rsidRDefault="008E761A" w:rsidP="00B122A8">
      <w:pPr>
        <w:tabs>
          <w:tab w:val="left" w:pos="2315"/>
        </w:tabs>
        <w:rPr>
          <w:rFonts w:ascii="Calibri" w:hAnsi="Calibri" w:cs="Calibri"/>
          <w:b/>
          <w:bCs/>
          <w:rtl/>
        </w:rPr>
      </w:pPr>
      <w:r w:rsidRPr="00B122A8">
        <w:rPr>
          <w:rFonts w:ascii="Calibri" w:hAnsi="Calibri" w:cs="Calibri"/>
          <w:sz w:val="24"/>
          <w:szCs w:val="24"/>
          <w:rtl/>
        </w:rPr>
        <w:t>הודעה לעיתונות:</w:t>
      </w:r>
      <w:r w:rsidR="00B122A8" w:rsidRPr="00B122A8">
        <w:rPr>
          <w:rFonts w:ascii="Calibri" w:hAnsi="Calibri" w:cs="Calibri"/>
          <w:b/>
          <w:bCs/>
          <w:rtl/>
        </w:rPr>
        <w:t xml:space="preserve"> </w:t>
      </w:r>
    </w:p>
    <w:p w:rsidR="00765FCC" w:rsidRDefault="000346AA" w:rsidP="00765FCC">
      <w:pPr>
        <w:tabs>
          <w:tab w:val="left" w:pos="2315"/>
        </w:tabs>
        <w:jc w:val="center"/>
        <w:rPr>
          <w:rFonts w:ascii="Calibri" w:hAnsi="Calibri" w:cs="Calibri"/>
          <w:b/>
          <w:bCs/>
          <w:sz w:val="28"/>
          <w:szCs w:val="28"/>
          <w:rtl/>
        </w:rPr>
      </w:pPr>
      <w:r w:rsidRPr="000346AA">
        <w:rPr>
          <w:rFonts w:ascii="Calibri" w:hAnsi="Calibri" w:cs="Calibri" w:hint="cs"/>
          <w:b/>
          <w:bCs/>
          <w:sz w:val="28"/>
          <w:szCs w:val="28"/>
          <w:rtl/>
        </w:rPr>
        <w:t>תיבה מתוך דוח בנק ישראל לשנת 2024:</w:t>
      </w:r>
    </w:p>
    <w:p w:rsidR="00422F40" w:rsidRPr="00422F40" w:rsidRDefault="00422F40" w:rsidP="00422F40">
      <w:pPr>
        <w:spacing w:line="360" w:lineRule="auto"/>
        <w:jc w:val="center"/>
        <w:rPr>
          <w:rFonts w:cs="Calibri"/>
          <w:b/>
          <w:bCs/>
          <w:sz w:val="28"/>
          <w:szCs w:val="28"/>
          <w:rtl/>
        </w:rPr>
      </w:pPr>
      <w:bookmarkStart w:id="0" w:name="_GoBack"/>
      <w:r w:rsidRPr="00422F40">
        <w:rPr>
          <w:rFonts w:cs="Calibri" w:hint="cs"/>
          <w:b/>
          <w:bCs/>
          <w:sz w:val="28"/>
          <w:szCs w:val="28"/>
          <w:rtl/>
        </w:rPr>
        <w:t>הגירעון והציפיות לאינפלציה</w:t>
      </w:r>
    </w:p>
    <w:bookmarkEnd w:id="0"/>
    <w:p w:rsidR="00422F40" w:rsidRPr="00181A86" w:rsidRDefault="00422F40" w:rsidP="00422F40">
      <w:pPr>
        <w:pStyle w:val="a5"/>
        <w:numPr>
          <w:ilvl w:val="0"/>
          <w:numId w:val="33"/>
        </w:numPr>
        <w:spacing w:after="160" w:line="360" w:lineRule="auto"/>
        <w:jc w:val="both"/>
        <w:rPr>
          <w:rFonts w:cs="Calibri"/>
          <w:sz w:val="24"/>
          <w:szCs w:val="24"/>
          <w:rtl/>
        </w:rPr>
      </w:pPr>
      <w:r>
        <w:rPr>
          <w:rFonts w:cs="Calibri" w:hint="cs"/>
          <w:sz w:val="24"/>
          <w:szCs w:val="24"/>
          <w:rtl/>
        </w:rPr>
        <w:t xml:space="preserve">עליית הגירעון בתקציב הממשלה, בהשוואה לערב המלחמה, תרמה לעלייתן של ציפיות האינפלציה </w:t>
      </w:r>
      <w:proofErr w:type="spellStart"/>
      <w:r>
        <w:rPr>
          <w:rFonts w:cs="Calibri" w:hint="cs"/>
          <w:sz w:val="24"/>
          <w:szCs w:val="24"/>
          <w:rtl/>
        </w:rPr>
        <w:t>בכחצי</w:t>
      </w:r>
      <w:proofErr w:type="spellEnd"/>
      <w:r>
        <w:rPr>
          <w:rFonts w:cs="Calibri" w:hint="cs"/>
          <w:sz w:val="24"/>
          <w:szCs w:val="24"/>
          <w:rtl/>
        </w:rPr>
        <w:t xml:space="preserve"> אחוז עד אחוז. </w:t>
      </w:r>
    </w:p>
    <w:p w:rsidR="00422F40" w:rsidRDefault="00422F40" w:rsidP="00422F40">
      <w:pPr>
        <w:spacing w:line="360" w:lineRule="auto"/>
        <w:jc w:val="both"/>
        <w:rPr>
          <w:rFonts w:cs="Calibri"/>
          <w:sz w:val="24"/>
          <w:szCs w:val="24"/>
          <w:rtl/>
        </w:rPr>
      </w:pPr>
      <w:r>
        <w:rPr>
          <w:rFonts w:cs="Calibri" w:hint="cs"/>
          <w:sz w:val="24"/>
          <w:szCs w:val="24"/>
          <w:rtl/>
        </w:rPr>
        <w:t xml:space="preserve">בשנת 2024 היו הוצאות ממשלתיות גבוהות, בעיקר בשל המלחמה. הוצאות אלו הובילו לגירעון גבוה </w:t>
      </w:r>
      <w:r w:rsidRPr="008E40BF">
        <w:rPr>
          <w:rFonts w:cs="Calibri" w:hint="cs"/>
          <w:sz w:val="24"/>
          <w:szCs w:val="24"/>
          <w:rtl/>
        </w:rPr>
        <w:t>ו</w:t>
      </w:r>
      <w:r>
        <w:rPr>
          <w:rFonts w:cs="Calibri" w:hint="cs"/>
          <w:sz w:val="24"/>
          <w:szCs w:val="24"/>
          <w:rtl/>
        </w:rPr>
        <w:t>ל</w:t>
      </w:r>
      <w:r w:rsidRPr="008E40BF">
        <w:rPr>
          <w:rFonts w:cs="Calibri" w:hint="cs"/>
          <w:sz w:val="24"/>
          <w:szCs w:val="24"/>
          <w:rtl/>
        </w:rPr>
        <w:t xml:space="preserve">עלייה </w:t>
      </w:r>
      <w:r>
        <w:rPr>
          <w:rFonts w:cs="Calibri" w:hint="cs"/>
          <w:sz w:val="24"/>
          <w:szCs w:val="24"/>
          <w:rtl/>
        </w:rPr>
        <w:t>ניכרת</w:t>
      </w:r>
      <w:r w:rsidRPr="008E40BF">
        <w:rPr>
          <w:rFonts w:cs="Calibri" w:hint="cs"/>
          <w:sz w:val="24"/>
          <w:szCs w:val="24"/>
          <w:rtl/>
        </w:rPr>
        <w:t xml:space="preserve"> של החוב</w:t>
      </w:r>
      <w:r>
        <w:rPr>
          <w:rFonts w:cs="Calibri" w:hint="cs"/>
          <w:sz w:val="24"/>
          <w:szCs w:val="24"/>
          <w:rtl/>
        </w:rPr>
        <w:t xml:space="preserve"> הציבורי</w:t>
      </w:r>
      <w:r w:rsidRPr="008E40BF">
        <w:rPr>
          <w:rFonts w:cs="Calibri" w:hint="cs"/>
          <w:sz w:val="24"/>
          <w:szCs w:val="24"/>
          <w:rtl/>
        </w:rPr>
        <w:t xml:space="preserve">. מדיניות פיסקלית מרחיבה עלולה </w:t>
      </w:r>
      <w:r w:rsidRPr="008E40BF">
        <w:rPr>
          <w:rFonts w:cs="Calibri" w:hint="eastAsia"/>
          <w:sz w:val="24"/>
          <w:szCs w:val="24"/>
          <w:rtl/>
        </w:rPr>
        <w:t>להביא</w:t>
      </w:r>
      <w:r w:rsidRPr="008E40BF">
        <w:rPr>
          <w:rFonts w:cs="Calibri"/>
          <w:sz w:val="24"/>
          <w:szCs w:val="24"/>
          <w:rtl/>
        </w:rPr>
        <w:t xml:space="preserve"> </w:t>
      </w:r>
      <w:r w:rsidRPr="008E40BF">
        <w:rPr>
          <w:rFonts w:cs="Calibri" w:hint="eastAsia"/>
          <w:sz w:val="24"/>
          <w:szCs w:val="24"/>
          <w:rtl/>
        </w:rPr>
        <w:t>לעליית</w:t>
      </w:r>
      <w:r w:rsidRPr="008E40BF">
        <w:rPr>
          <w:rFonts w:cs="Calibri" w:hint="cs"/>
          <w:sz w:val="24"/>
          <w:szCs w:val="24"/>
          <w:rtl/>
        </w:rPr>
        <w:t xml:space="preserve"> האינפלציה דרך</w:t>
      </w:r>
      <w:r>
        <w:rPr>
          <w:rFonts w:cs="Calibri" w:hint="cs"/>
          <w:sz w:val="24"/>
          <w:szCs w:val="24"/>
          <w:rtl/>
        </w:rPr>
        <w:t xml:space="preserve"> הרחבת </w:t>
      </w:r>
      <w:proofErr w:type="spellStart"/>
      <w:r>
        <w:rPr>
          <w:rFonts w:cs="Calibri" w:hint="cs"/>
          <w:sz w:val="24"/>
          <w:szCs w:val="24"/>
          <w:rtl/>
        </w:rPr>
        <w:t>הביקושים</w:t>
      </w:r>
      <w:proofErr w:type="spellEnd"/>
      <w:r>
        <w:rPr>
          <w:rFonts w:cs="Calibri" w:hint="cs"/>
          <w:sz w:val="24"/>
          <w:szCs w:val="24"/>
          <w:rtl/>
        </w:rPr>
        <w:t xml:space="preserve"> המקומיים, במיוחד כשבמשק שוררות מגבלות היצע. גירעון ממשלתי גבוה עלול גם לגרום לשווקים להעריך כי הממשלה תתקשה להחזיר </w:t>
      </w:r>
      <w:r w:rsidRPr="008E40BF">
        <w:rPr>
          <w:rFonts w:cs="Calibri" w:hint="cs"/>
          <w:sz w:val="24"/>
          <w:szCs w:val="24"/>
          <w:rtl/>
        </w:rPr>
        <w:t xml:space="preserve">את החוב העתידי באמצעות מיסוי או קיצוץ הוצאות, </w:t>
      </w:r>
      <w:r w:rsidRPr="008E40BF">
        <w:rPr>
          <w:rFonts w:cs="Calibri" w:hint="eastAsia"/>
          <w:sz w:val="24"/>
          <w:szCs w:val="24"/>
          <w:rtl/>
        </w:rPr>
        <w:t>הערכה</w:t>
      </w:r>
      <w:r w:rsidRPr="008E40BF">
        <w:rPr>
          <w:rFonts w:cs="Calibri"/>
          <w:sz w:val="24"/>
          <w:szCs w:val="24"/>
          <w:rtl/>
        </w:rPr>
        <w:t xml:space="preserve"> שתפעל אף היא לעליית </w:t>
      </w:r>
      <w:r w:rsidRPr="008E40BF">
        <w:rPr>
          <w:rFonts w:cs="Calibri" w:hint="eastAsia"/>
          <w:sz w:val="24"/>
          <w:szCs w:val="24"/>
          <w:rtl/>
        </w:rPr>
        <w:t>הציפיות</w:t>
      </w:r>
      <w:r w:rsidRPr="008E40BF">
        <w:rPr>
          <w:rFonts w:cs="Calibri"/>
          <w:sz w:val="24"/>
          <w:szCs w:val="24"/>
          <w:rtl/>
        </w:rPr>
        <w:t xml:space="preserve"> </w:t>
      </w:r>
      <w:r w:rsidRPr="008E40BF">
        <w:rPr>
          <w:rFonts w:cs="Calibri" w:hint="eastAsia"/>
          <w:sz w:val="24"/>
          <w:szCs w:val="24"/>
          <w:rtl/>
        </w:rPr>
        <w:t>לאינפלציה</w:t>
      </w:r>
      <w:r w:rsidRPr="008E40BF">
        <w:rPr>
          <w:rStyle w:val="af2"/>
          <w:rFonts w:cs="Calibri"/>
          <w:sz w:val="24"/>
          <w:szCs w:val="24"/>
          <w:rtl/>
        </w:rPr>
        <w:footnoteReference w:id="1"/>
      </w:r>
      <w:r w:rsidRPr="008E40BF">
        <w:rPr>
          <w:rFonts w:cs="Calibri" w:hint="cs"/>
          <w:sz w:val="24"/>
          <w:szCs w:val="24"/>
          <w:rtl/>
        </w:rPr>
        <w:t>.</w:t>
      </w:r>
      <w:r>
        <w:rPr>
          <w:rFonts w:cs="Calibri" w:hint="cs"/>
          <w:sz w:val="24"/>
          <w:szCs w:val="24"/>
          <w:rtl/>
        </w:rPr>
        <w:t xml:space="preserve"> </w:t>
      </w:r>
    </w:p>
    <w:p w:rsidR="00422F40" w:rsidRDefault="00422F40" w:rsidP="00422F40">
      <w:pPr>
        <w:spacing w:line="360" w:lineRule="auto"/>
        <w:jc w:val="both"/>
        <w:rPr>
          <w:rFonts w:cs="Calibri"/>
          <w:sz w:val="24"/>
          <w:szCs w:val="24"/>
        </w:rPr>
      </w:pPr>
      <w:r w:rsidRPr="008E40BF">
        <w:rPr>
          <w:rFonts w:cs="Calibri" w:hint="cs"/>
          <w:sz w:val="24"/>
          <w:szCs w:val="24"/>
          <w:rtl/>
        </w:rPr>
        <w:t>ה</w:t>
      </w:r>
      <w:r w:rsidRPr="008E40BF">
        <w:rPr>
          <w:rFonts w:cs="Calibri"/>
          <w:sz w:val="24"/>
          <w:szCs w:val="24"/>
          <w:rtl/>
        </w:rPr>
        <w:t xml:space="preserve">עדויות האמפיריות באשר לכיוון </w:t>
      </w:r>
      <w:r w:rsidRPr="008E40BF">
        <w:rPr>
          <w:rFonts w:cs="Calibri" w:hint="cs"/>
          <w:sz w:val="24"/>
          <w:szCs w:val="24"/>
          <w:rtl/>
        </w:rPr>
        <w:t>ולעוצמה של</w:t>
      </w:r>
      <w:r w:rsidRPr="008E40BF">
        <w:rPr>
          <w:rFonts w:cs="Calibri"/>
          <w:sz w:val="24"/>
          <w:szCs w:val="24"/>
          <w:rtl/>
        </w:rPr>
        <w:t xml:space="preserve"> </w:t>
      </w:r>
      <w:r w:rsidRPr="008E40BF">
        <w:rPr>
          <w:rFonts w:cs="Calibri" w:hint="cs"/>
          <w:sz w:val="24"/>
          <w:szCs w:val="24"/>
          <w:rtl/>
        </w:rPr>
        <w:t>השפעת</w:t>
      </w:r>
      <w:r w:rsidRPr="008E40BF">
        <w:rPr>
          <w:rFonts w:cs="Calibri"/>
          <w:sz w:val="24"/>
          <w:szCs w:val="24"/>
          <w:rtl/>
        </w:rPr>
        <w:t xml:space="preserve"> המדיניות הפיסקלית על </w:t>
      </w:r>
      <w:r>
        <w:rPr>
          <w:rFonts w:cs="Calibri" w:hint="cs"/>
          <w:sz w:val="24"/>
          <w:szCs w:val="24"/>
          <w:rtl/>
        </w:rPr>
        <w:t>האינפלציה</w:t>
      </w:r>
      <w:r w:rsidRPr="008E40BF">
        <w:rPr>
          <w:rFonts w:cs="Calibri"/>
          <w:sz w:val="24"/>
          <w:szCs w:val="24"/>
          <w:rtl/>
        </w:rPr>
        <w:t xml:space="preserve"> חלוקות</w:t>
      </w:r>
      <w:r>
        <w:rPr>
          <w:rFonts w:cs="Calibri" w:hint="cs"/>
          <w:sz w:val="24"/>
          <w:szCs w:val="24"/>
          <w:rtl/>
        </w:rPr>
        <w:t>;</w:t>
      </w:r>
      <w:r w:rsidRPr="008E40BF">
        <w:rPr>
          <w:rFonts w:cs="Calibri"/>
          <w:sz w:val="24"/>
          <w:szCs w:val="24"/>
          <w:rtl/>
        </w:rPr>
        <w:t xml:space="preserve"> מחקרים</w:t>
      </w:r>
      <w:r w:rsidRPr="008E40BF">
        <w:rPr>
          <w:rFonts w:cs="Calibri" w:hint="cs"/>
          <w:sz w:val="24"/>
          <w:szCs w:val="24"/>
          <w:rtl/>
        </w:rPr>
        <w:t xml:space="preserve"> אחדים </w:t>
      </w:r>
      <w:r w:rsidRPr="008E40BF">
        <w:rPr>
          <w:rFonts w:cs="Calibri"/>
          <w:sz w:val="24"/>
          <w:szCs w:val="24"/>
          <w:rtl/>
        </w:rPr>
        <w:t xml:space="preserve">מצאו כי </w:t>
      </w:r>
      <w:r>
        <w:rPr>
          <w:rFonts w:cs="Calibri" w:hint="cs"/>
          <w:sz w:val="24"/>
          <w:szCs w:val="24"/>
          <w:rtl/>
        </w:rPr>
        <w:t>הרחבה</w:t>
      </w:r>
      <w:r w:rsidRPr="008E40BF">
        <w:rPr>
          <w:rFonts w:cs="Calibri"/>
          <w:sz w:val="24"/>
          <w:szCs w:val="24"/>
          <w:rtl/>
        </w:rPr>
        <w:t xml:space="preserve"> פיסקלי</w:t>
      </w:r>
      <w:r>
        <w:rPr>
          <w:rFonts w:cs="Calibri" w:hint="cs"/>
          <w:sz w:val="24"/>
          <w:szCs w:val="24"/>
          <w:rtl/>
        </w:rPr>
        <w:t>ת</w:t>
      </w:r>
      <w:r w:rsidRPr="008E40BF">
        <w:rPr>
          <w:rFonts w:cs="Calibri"/>
          <w:sz w:val="24"/>
          <w:szCs w:val="24"/>
          <w:rtl/>
        </w:rPr>
        <w:t xml:space="preserve"> </w:t>
      </w:r>
      <w:r w:rsidRPr="008E40BF">
        <w:rPr>
          <w:rFonts w:cs="Calibri" w:hint="cs"/>
          <w:sz w:val="24"/>
          <w:szCs w:val="24"/>
          <w:rtl/>
        </w:rPr>
        <w:t>פועל</w:t>
      </w:r>
      <w:r>
        <w:rPr>
          <w:rFonts w:cs="Calibri" w:hint="cs"/>
          <w:sz w:val="24"/>
          <w:szCs w:val="24"/>
          <w:rtl/>
        </w:rPr>
        <w:t>ת</w:t>
      </w:r>
      <w:r w:rsidRPr="008E40BF">
        <w:rPr>
          <w:rFonts w:cs="Calibri" w:hint="cs"/>
          <w:sz w:val="24"/>
          <w:szCs w:val="24"/>
          <w:rtl/>
        </w:rPr>
        <w:t xml:space="preserve"> לעליית</w:t>
      </w:r>
      <w:r w:rsidRPr="008E40BF">
        <w:rPr>
          <w:rFonts w:cs="Calibri"/>
          <w:sz w:val="24"/>
          <w:szCs w:val="24"/>
          <w:rtl/>
        </w:rPr>
        <w:t xml:space="preserve"> האינפלציה</w:t>
      </w:r>
      <w:r w:rsidRPr="008E40BF">
        <w:rPr>
          <w:rFonts w:cs="Calibri" w:hint="cs"/>
          <w:sz w:val="24"/>
          <w:szCs w:val="24"/>
          <w:rtl/>
        </w:rPr>
        <w:t xml:space="preserve"> </w:t>
      </w:r>
      <w:r w:rsidRPr="008E40BF">
        <w:rPr>
          <w:rFonts w:cs="Calibri"/>
          <w:sz w:val="24"/>
          <w:szCs w:val="24"/>
          <w:rtl/>
        </w:rPr>
        <w:t>(</w:t>
      </w:r>
      <w:r w:rsidRPr="008E40BF">
        <w:rPr>
          <w:rFonts w:cs="Calibri"/>
          <w:sz w:val="24"/>
          <w:szCs w:val="24"/>
        </w:rPr>
        <w:t>Ferrara et al., 2021</w:t>
      </w:r>
      <w:r w:rsidRPr="008E40BF">
        <w:rPr>
          <w:rFonts w:cs="Calibri"/>
          <w:sz w:val="24"/>
          <w:szCs w:val="24"/>
          <w:rtl/>
        </w:rPr>
        <w:t>)</w:t>
      </w:r>
      <w:r>
        <w:rPr>
          <w:rFonts w:cs="Calibri" w:hint="cs"/>
          <w:sz w:val="24"/>
          <w:szCs w:val="24"/>
          <w:rtl/>
        </w:rPr>
        <w:t xml:space="preserve"> ו</w:t>
      </w:r>
      <w:r w:rsidRPr="008E40BF">
        <w:rPr>
          <w:rFonts w:cs="Calibri"/>
          <w:sz w:val="24"/>
          <w:szCs w:val="24"/>
          <w:rtl/>
        </w:rPr>
        <w:t>אחרים</w:t>
      </w:r>
      <w:r w:rsidRPr="008E40BF">
        <w:rPr>
          <w:rFonts w:cs="Calibri" w:hint="cs"/>
          <w:sz w:val="24"/>
          <w:szCs w:val="24"/>
          <w:rtl/>
        </w:rPr>
        <w:t xml:space="preserve"> הראו </w:t>
      </w:r>
      <w:r w:rsidRPr="008E40BF">
        <w:rPr>
          <w:rFonts w:cs="Calibri"/>
          <w:sz w:val="24"/>
          <w:szCs w:val="24"/>
          <w:rtl/>
        </w:rPr>
        <w:t xml:space="preserve">כי ההשפעה </w:t>
      </w:r>
      <w:r w:rsidRPr="008E40BF">
        <w:rPr>
          <w:rFonts w:cs="Calibri" w:hint="cs"/>
          <w:sz w:val="24"/>
          <w:szCs w:val="24"/>
          <w:rtl/>
        </w:rPr>
        <w:t>אינה</w:t>
      </w:r>
      <w:r w:rsidRPr="008E40BF">
        <w:rPr>
          <w:rFonts w:cs="Calibri"/>
          <w:sz w:val="24"/>
          <w:szCs w:val="24"/>
          <w:rtl/>
        </w:rPr>
        <w:t xml:space="preserve"> מובהקת ואף שלילית (</w:t>
      </w:r>
      <w:proofErr w:type="spellStart"/>
      <w:r w:rsidRPr="008E40BF">
        <w:rPr>
          <w:rFonts w:cs="Calibri"/>
          <w:sz w:val="24"/>
          <w:szCs w:val="24"/>
        </w:rPr>
        <w:t>Jørgensen</w:t>
      </w:r>
      <w:proofErr w:type="spellEnd"/>
      <w:r w:rsidRPr="008E40BF">
        <w:rPr>
          <w:rFonts w:cs="Calibri"/>
          <w:sz w:val="24"/>
          <w:szCs w:val="24"/>
        </w:rPr>
        <w:t xml:space="preserve"> &amp; </w:t>
      </w:r>
      <w:proofErr w:type="spellStart"/>
      <w:r w:rsidRPr="008E40BF">
        <w:rPr>
          <w:rFonts w:cs="Calibri"/>
          <w:sz w:val="24"/>
          <w:szCs w:val="24"/>
        </w:rPr>
        <w:t>Ravn</w:t>
      </w:r>
      <w:proofErr w:type="spellEnd"/>
      <w:r w:rsidRPr="008E40BF">
        <w:rPr>
          <w:rFonts w:cs="Calibri"/>
          <w:sz w:val="24"/>
          <w:szCs w:val="24"/>
        </w:rPr>
        <w:t>, 2022</w:t>
      </w:r>
      <w:r w:rsidRPr="008E40BF">
        <w:rPr>
          <w:rFonts w:cs="Calibri"/>
          <w:sz w:val="24"/>
          <w:szCs w:val="24"/>
          <w:rtl/>
        </w:rPr>
        <w:t>)</w:t>
      </w:r>
      <w:r w:rsidRPr="008E40BF">
        <w:rPr>
          <w:rStyle w:val="af2"/>
          <w:rFonts w:cs="Calibri"/>
          <w:sz w:val="24"/>
          <w:szCs w:val="24"/>
          <w:rtl/>
        </w:rPr>
        <w:footnoteReference w:id="2"/>
      </w:r>
      <w:r w:rsidRPr="008E40BF">
        <w:rPr>
          <w:rFonts w:cs="Calibri" w:hint="cs"/>
          <w:sz w:val="24"/>
          <w:szCs w:val="24"/>
          <w:rtl/>
        </w:rPr>
        <w:t>.</w:t>
      </w:r>
      <w:r w:rsidRPr="004F0012">
        <w:rPr>
          <w:rFonts w:cs="Calibri"/>
          <w:sz w:val="24"/>
          <w:szCs w:val="24"/>
          <w:rtl/>
        </w:rPr>
        <w:t xml:space="preserve"> </w:t>
      </w:r>
      <w:r w:rsidRPr="00B644B7">
        <w:rPr>
          <w:rFonts w:cs="Calibri"/>
          <w:sz w:val="24"/>
          <w:szCs w:val="24"/>
          <w:rtl/>
        </w:rPr>
        <w:t>(2021)</w:t>
      </w:r>
      <w:r w:rsidRPr="008E40BF">
        <w:rPr>
          <w:rFonts w:cs="Calibri" w:hint="cs"/>
          <w:sz w:val="24"/>
          <w:szCs w:val="24"/>
          <w:rtl/>
        </w:rPr>
        <w:t xml:space="preserve"> </w:t>
      </w:r>
      <w:proofErr w:type="spellStart"/>
      <w:r w:rsidRPr="008E40BF">
        <w:rPr>
          <w:rFonts w:cs="Calibri"/>
          <w:sz w:val="24"/>
          <w:szCs w:val="24"/>
        </w:rPr>
        <w:t>Coibion</w:t>
      </w:r>
      <w:proofErr w:type="spellEnd"/>
      <w:r w:rsidRPr="008E40BF">
        <w:rPr>
          <w:rFonts w:cs="Calibri"/>
          <w:sz w:val="24"/>
          <w:szCs w:val="24"/>
        </w:rPr>
        <w:t xml:space="preserve">, </w:t>
      </w:r>
      <w:proofErr w:type="spellStart"/>
      <w:r w:rsidRPr="008E40BF">
        <w:rPr>
          <w:rFonts w:cs="Calibri"/>
          <w:sz w:val="24"/>
          <w:szCs w:val="24"/>
        </w:rPr>
        <w:t>Gorodnichenko</w:t>
      </w:r>
      <w:proofErr w:type="spellEnd"/>
      <w:r w:rsidRPr="00B644B7">
        <w:rPr>
          <w:rFonts w:cs="Calibri"/>
          <w:sz w:val="24"/>
          <w:szCs w:val="24"/>
        </w:rPr>
        <w:t xml:space="preserve"> &amp; Weber</w:t>
      </w:r>
      <w:r w:rsidRPr="00B644B7">
        <w:rPr>
          <w:rFonts w:cs="Calibri"/>
          <w:sz w:val="24"/>
          <w:szCs w:val="24"/>
          <w:rtl/>
        </w:rPr>
        <w:t xml:space="preserve"> ו-(2024)</w:t>
      </w:r>
      <w:proofErr w:type="spellStart"/>
      <w:r w:rsidRPr="00B644B7">
        <w:rPr>
          <w:rFonts w:cs="Calibri"/>
          <w:sz w:val="24"/>
          <w:szCs w:val="24"/>
        </w:rPr>
        <w:t>Grigoli</w:t>
      </w:r>
      <w:proofErr w:type="spellEnd"/>
      <w:r w:rsidRPr="00B644B7">
        <w:rPr>
          <w:rFonts w:cs="Calibri"/>
          <w:sz w:val="24"/>
          <w:szCs w:val="24"/>
        </w:rPr>
        <w:t xml:space="preserve"> </w:t>
      </w:r>
      <w:r>
        <w:rPr>
          <w:rFonts w:cs="Calibri"/>
          <w:sz w:val="24"/>
          <w:szCs w:val="24"/>
        </w:rPr>
        <w:t>&amp;</w:t>
      </w:r>
      <w:r w:rsidRPr="00B644B7">
        <w:rPr>
          <w:rFonts w:cs="Calibri"/>
          <w:sz w:val="24"/>
          <w:szCs w:val="24"/>
        </w:rPr>
        <w:t xml:space="preserve"> Sandri</w:t>
      </w:r>
      <w:r>
        <w:rPr>
          <w:rFonts w:cs="Calibri"/>
          <w:sz w:val="24"/>
          <w:szCs w:val="24"/>
        </w:rPr>
        <w:t xml:space="preserve"> </w:t>
      </w:r>
      <w:r w:rsidRPr="00B644B7">
        <w:rPr>
          <w:rFonts w:cs="Calibri"/>
          <w:sz w:val="24"/>
          <w:szCs w:val="24"/>
          <w:rtl/>
        </w:rPr>
        <w:t xml:space="preserve"> ערכו ניסויים בקרב משקי בית</w:t>
      </w:r>
      <w:r>
        <w:rPr>
          <w:rFonts w:cs="Calibri" w:hint="cs"/>
          <w:sz w:val="24"/>
          <w:szCs w:val="24"/>
          <w:rtl/>
        </w:rPr>
        <w:t>:</w:t>
      </w:r>
      <w:r w:rsidRPr="00B644B7">
        <w:rPr>
          <w:rFonts w:cs="Calibri"/>
          <w:sz w:val="24"/>
          <w:szCs w:val="24"/>
          <w:rtl/>
        </w:rPr>
        <w:t xml:space="preserve"> קבוצת משתתפים קיבלה מידע </w:t>
      </w:r>
      <w:r>
        <w:rPr>
          <w:rFonts w:cs="Calibri" w:hint="cs"/>
          <w:sz w:val="24"/>
          <w:szCs w:val="24"/>
          <w:rtl/>
        </w:rPr>
        <w:t>ש</w:t>
      </w:r>
      <w:r w:rsidRPr="00B644B7">
        <w:rPr>
          <w:rFonts w:cs="Calibri"/>
          <w:sz w:val="24"/>
          <w:szCs w:val="24"/>
          <w:rtl/>
        </w:rPr>
        <w:t xml:space="preserve">לפיו תוואי החוב הממשלתי </w:t>
      </w:r>
      <w:r>
        <w:rPr>
          <w:rFonts w:cs="Calibri" w:hint="cs"/>
          <w:sz w:val="24"/>
          <w:szCs w:val="24"/>
          <w:rtl/>
        </w:rPr>
        <w:t>יעלה</w:t>
      </w:r>
      <w:r w:rsidRPr="00B644B7">
        <w:rPr>
          <w:rFonts w:cs="Calibri"/>
          <w:sz w:val="24"/>
          <w:szCs w:val="24"/>
          <w:rtl/>
        </w:rPr>
        <w:t xml:space="preserve">. </w:t>
      </w:r>
      <w:r>
        <w:rPr>
          <w:rFonts w:cs="Calibri" w:hint="cs"/>
          <w:sz w:val="24"/>
          <w:szCs w:val="24"/>
          <w:rtl/>
        </w:rPr>
        <w:t>נמצא</w:t>
      </w:r>
      <w:r w:rsidRPr="00B644B7">
        <w:rPr>
          <w:rFonts w:cs="Calibri"/>
          <w:sz w:val="24"/>
          <w:szCs w:val="24"/>
          <w:rtl/>
        </w:rPr>
        <w:t xml:space="preserve"> </w:t>
      </w:r>
      <w:r>
        <w:rPr>
          <w:rFonts w:cs="Calibri" w:hint="cs"/>
          <w:sz w:val="24"/>
          <w:szCs w:val="24"/>
          <w:rtl/>
        </w:rPr>
        <w:t>שאלו</w:t>
      </w:r>
      <w:r w:rsidRPr="00B644B7">
        <w:rPr>
          <w:rFonts w:cs="Calibri"/>
          <w:sz w:val="24"/>
          <w:szCs w:val="24"/>
          <w:rtl/>
        </w:rPr>
        <w:t xml:space="preserve"> עדכנ</w:t>
      </w:r>
      <w:r>
        <w:rPr>
          <w:rFonts w:cs="Calibri" w:hint="cs"/>
          <w:sz w:val="24"/>
          <w:szCs w:val="24"/>
          <w:rtl/>
        </w:rPr>
        <w:t>ו</w:t>
      </w:r>
      <w:r w:rsidRPr="00B644B7">
        <w:rPr>
          <w:rFonts w:cs="Calibri"/>
          <w:sz w:val="24"/>
          <w:szCs w:val="24"/>
          <w:rtl/>
        </w:rPr>
        <w:t xml:space="preserve"> את הציפיות לאינפלציה</w:t>
      </w:r>
      <w:r w:rsidRPr="00C552A7">
        <w:rPr>
          <w:rFonts w:cs="Calibri"/>
          <w:sz w:val="24"/>
          <w:szCs w:val="24"/>
          <w:rtl/>
        </w:rPr>
        <w:t xml:space="preserve"> </w:t>
      </w:r>
      <w:r w:rsidRPr="00B644B7">
        <w:rPr>
          <w:rFonts w:cs="Calibri"/>
          <w:sz w:val="24"/>
          <w:szCs w:val="24"/>
          <w:rtl/>
        </w:rPr>
        <w:t xml:space="preserve">כלפי מעלה, מה שמעיד </w:t>
      </w:r>
      <w:r>
        <w:rPr>
          <w:rFonts w:cs="Calibri" w:hint="cs"/>
          <w:sz w:val="24"/>
          <w:szCs w:val="24"/>
          <w:rtl/>
        </w:rPr>
        <w:t>כי להערכתם</w:t>
      </w:r>
      <w:r w:rsidRPr="00B644B7">
        <w:rPr>
          <w:rFonts w:cs="Calibri"/>
          <w:sz w:val="24"/>
          <w:szCs w:val="24"/>
          <w:rtl/>
        </w:rPr>
        <w:t xml:space="preserve"> </w:t>
      </w:r>
      <w:r>
        <w:rPr>
          <w:rFonts w:cs="Calibri" w:hint="cs"/>
          <w:sz w:val="24"/>
          <w:szCs w:val="24"/>
          <w:rtl/>
        </w:rPr>
        <w:t xml:space="preserve">יש לגידול החוב </w:t>
      </w:r>
      <w:r w:rsidRPr="00B644B7">
        <w:rPr>
          <w:rFonts w:cs="Calibri"/>
          <w:sz w:val="24"/>
          <w:szCs w:val="24"/>
          <w:rtl/>
        </w:rPr>
        <w:t>השפעה אינפלציונית.</w:t>
      </w:r>
      <w:r>
        <w:rPr>
          <w:rFonts w:cs="Calibri" w:hint="cs"/>
          <w:sz w:val="24"/>
          <w:szCs w:val="24"/>
          <w:rtl/>
        </w:rPr>
        <w:t xml:space="preserve"> </w:t>
      </w:r>
      <w:r>
        <w:rPr>
          <w:rFonts w:cs="Calibri"/>
          <w:sz w:val="24"/>
          <w:szCs w:val="24"/>
        </w:rPr>
        <w:t xml:space="preserve">Hazell &amp; </w:t>
      </w:r>
      <w:proofErr w:type="spellStart"/>
      <w:r>
        <w:rPr>
          <w:rFonts w:cs="Calibri"/>
          <w:sz w:val="24"/>
          <w:szCs w:val="24"/>
        </w:rPr>
        <w:t>Hobler</w:t>
      </w:r>
      <w:proofErr w:type="spellEnd"/>
      <w:r>
        <w:rPr>
          <w:rFonts w:cs="Calibri"/>
          <w:sz w:val="24"/>
          <w:szCs w:val="24"/>
        </w:rPr>
        <w:t xml:space="preserve"> (2024)</w:t>
      </w:r>
      <w:r>
        <w:rPr>
          <w:rFonts w:cs="Calibri" w:hint="cs"/>
          <w:sz w:val="24"/>
          <w:szCs w:val="24"/>
          <w:rtl/>
        </w:rPr>
        <w:t xml:space="preserve"> הראו, בהתבסס על נתונים בתדירות גבוהה, כי הגירעון הממשלתי הגבוה בארה"ב בתקופת הקורונה </w:t>
      </w:r>
      <w:r w:rsidRPr="008E40BF">
        <w:rPr>
          <w:rFonts w:cs="Calibri" w:hint="eastAsia"/>
          <w:sz w:val="24"/>
          <w:szCs w:val="24"/>
          <w:rtl/>
        </w:rPr>
        <w:t>מסביר</w:t>
      </w:r>
      <w:r>
        <w:rPr>
          <w:rFonts w:cs="Calibri" w:hint="cs"/>
          <w:sz w:val="24"/>
          <w:szCs w:val="24"/>
          <w:rtl/>
        </w:rPr>
        <w:t xml:space="preserve"> </w:t>
      </w:r>
      <w:r w:rsidRPr="005464C0">
        <w:rPr>
          <w:rFonts w:cs="Calibri"/>
          <w:sz w:val="24"/>
          <w:szCs w:val="24"/>
          <w:rtl/>
        </w:rPr>
        <w:t>כ-30</w:t>
      </w:r>
      <w:r>
        <w:rPr>
          <w:rFonts w:cs="Calibri" w:hint="cs"/>
          <w:sz w:val="24"/>
          <w:szCs w:val="24"/>
          <w:rtl/>
        </w:rPr>
        <w:t xml:space="preserve"> אחוזים מהאינפלציה ב-2021</w:t>
      </w:r>
      <w:r>
        <w:rPr>
          <w:rFonts w:cs="Calibri" w:hint="eastAsia"/>
          <w:sz w:val="24"/>
          <w:szCs w:val="24"/>
          <w:rtl/>
        </w:rPr>
        <w:t>–</w:t>
      </w:r>
      <w:r>
        <w:rPr>
          <w:rFonts w:cs="Calibri" w:hint="cs"/>
          <w:sz w:val="24"/>
          <w:szCs w:val="24"/>
          <w:rtl/>
        </w:rPr>
        <w:t xml:space="preserve">2022. </w:t>
      </w:r>
      <w:r w:rsidRPr="00753365">
        <w:rPr>
          <w:rFonts w:cs="Calibri"/>
          <w:sz w:val="24"/>
          <w:szCs w:val="24"/>
        </w:rPr>
        <w:t>Gomez Cram et al. (2023)</w:t>
      </w:r>
      <w:r>
        <w:rPr>
          <w:rFonts w:cs="Calibri" w:hint="cs"/>
          <w:sz w:val="24"/>
          <w:szCs w:val="24"/>
          <w:rtl/>
        </w:rPr>
        <w:t xml:space="preserve"> מתעדים עלייה בציפיות לאינפלציה בימים שלאחר פרסום צעדים פיסקליים עתידיים בעלי השפעה מרחיבה על גירעון הממשלה.</w:t>
      </w:r>
    </w:p>
    <w:p w:rsidR="00422F40" w:rsidRDefault="00422F40" w:rsidP="00422F40">
      <w:pPr>
        <w:spacing w:line="360" w:lineRule="auto"/>
        <w:jc w:val="both"/>
        <w:rPr>
          <w:rFonts w:cs="Calibri"/>
          <w:sz w:val="24"/>
          <w:szCs w:val="24"/>
          <w:rtl/>
        </w:rPr>
      </w:pPr>
      <w:r w:rsidRPr="00B644B7">
        <w:rPr>
          <w:rFonts w:cs="Calibri"/>
          <w:sz w:val="24"/>
          <w:szCs w:val="24"/>
          <w:rtl/>
        </w:rPr>
        <w:t xml:space="preserve">בתיבה זו </w:t>
      </w:r>
      <w:r>
        <w:rPr>
          <w:rFonts w:cs="Calibri" w:hint="cs"/>
          <w:sz w:val="24"/>
          <w:szCs w:val="24"/>
          <w:rtl/>
        </w:rPr>
        <w:t xml:space="preserve">אנו בודקים אם </w:t>
      </w:r>
      <w:r w:rsidRPr="00B644B7">
        <w:rPr>
          <w:rFonts w:cs="Calibri"/>
          <w:sz w:val="24"/>
          <w:szCs w:val="24"/>
          <w:rtl/>
        </w:rPr>
        <w:t xml:space="preserve">עלייה </w:t>
      </w:r>
      <w:r>
        <w:rPr>
          <w:rFonts w:cs="Calibri" w:hint="cs"/>
          <w:sz w:val="24"/>
          <w:szCs w:val="24"/>
          <w:rtl/>
        </w:rPr>
        <w:t xml:space="preserve">של </w:t>
      </w:r>
      <w:r w:rsidRPr="00B644B7">
        <w:rPr>
          <w:rFonts w:cs="Calibri"/>
          <w:sz w:val="24"/>
          <w:szCs w:val="24"/>
          <w:rtl/>
        </w:rPr>
        <w:t>סביבת הג</w:t>
      </w:r>
      <w:r>
        <w:rPr>
          <w:rFonts w:cs="Calibri" w:hint="cs"/>
          <w:sz w:val="24"/>
          <w:szCs w:val="24"/>
          <w:rtl/>
        </w:rPr>
        <w:t>י</w:t>
      </w:r>
      <w:r w:rsidRPr="00B644B7">
        <w:rPr>
          <w:rFonts w:cs="Calibri"/>
          <w:sz w:val="24"/>
          <w:szCs w:val="24"/>
          <w:rtl/>
        </w:rPr>
        <w:t>רעון</w:t>
      </w:r>
      <w:r>
        <w:rPr>
          <w:rFonts w:cs="Calibri" w:hint="cs"/>
          <w:sz w:val="24"/>
          <w:szCs w:val="24"/>
          <w:rtl/>
        </w:rPr>
        <w:t xml:space="preserve"> </w:t>
      </w:r>
      <w:r w:rsidRPr="008E40BF">
        <w:rPr>
          <w:rFonts w:cs="Calibri" w:hint="eastAsia"/>
          <w:sz w:val="24"/>
          <w:szCs w:val="24"/>
          <w:rtl/>
        </w:rPr>
        <w:t>אכן</w:t>
      </w:r>
      <w:r>
        <w:rPr>
          <w:rFonts w:cs="Calibri" w:hint="cs"/>
          <w:sz w:val="24"/>
          <w:szCs w:val="24"/>
          <w:rtl/>
        </w:rPr>
        <w:t xml:space="preserve"> נתפסת בישראל כאינפלציונית</w:t>
      </w:r>
      <w:r w:rsidRPr="00B644B7">
        <w:rPr>
          <w:rFonts w:cs="Calibri"/>
          <w:sz w:val="24"/>
          <w:szCs w:val="24"/>
          <w:rtl/>
        </w:rPr>
        <w:t>. המיקוד בציפיות האינפלציה (</w:t>
      </w:r>
      <w:r>
        <w:rPr>
          <w:rFonts w:cs="Calibri" w:hint="cs"/>
          <w:sz w:val="24"/>
          <w:szCs w:val="24"/>
          <w:rtl/>
        </w:rPr>
        <w:t>ולא</w:t>
      </w:r>
      <w:r w:rsidRPr="00B644B7">
        <w:rPr>
          <w:rFonts w:cs="Calibri"/>
          <w:sz w:val="24"/>
          <w:szCs w:val="24"/>
          <w:rtl/>
        </w:rPr>
        <w:t xml:space="preserve"> </w:t>
      </w:r>
      <w:r>
        <w:rPr>
          <w:rFonts w:cs="Calibri" w:hint="cs"/>
          <w:sz w:val="24"/>
          <w:szCs w:val="24"/>
          <w:rtl/>
        </w:rPr>
        <w:t>ב</w:t>
      </w:r>
      <w:r w:rsidRPr="00B644B7">
        <w:rPr>
          <w:rFonts w:cs="Calibri"/>
          <w:sz w:val="24"/>
          <w:szCs w:val="24"/>
          <w:rtl/>
        </w:rPr>
        <w:t xml:space="preserve">אינפלציה בפועל) מאפשר </w:t>
      </w:r>
      <w:r>
        <w:rPr>
          <w:rFonts w:cs="Calibri" w:hint="cs"/>
          <w:sz w:val="24"/>
          <w:szCs w:val="24"/>
          <w:rtl/>
        </w:rPr>
        <w:t xml:space="preserve">לזהות את ההשפעה האינפלציונית של הגירעון </w:t>
      </w:r>
      <w:r w:rsidRPr="00B644B7">
        <w:rPr>
          <w:rFonts w:cs="Calibri"/>
          <w:sz w:val="24"/>
          <w:szCs w:val="24"/>
          <w:rtl/>
        </w:rPr>
        <w:t xml:space="preserve">על </w:t>
      </w:r>
      <w:r>
        <w:rPr>
          <w:rFonts w:cs="Calibri" w:hint="cs"/>
          <w:sz w:val="24"/>
          <w:szCs w:val="24"/>
          <w:rtl/>
        </w:rPr>
        <w:t xml:space="preserve">בסיס </w:t>
      </w:r>
      <w:r w:rsidRPr="00B644B7">
        <w:rPr>
          <w:rFonts w:cs="Calibri"/>
          <w:sz w:val="24"/>
          <w:szCs w:val="24"/>
          <w:rtl/>
        </w:rPr>
        <w:t xml:space="preserve">נתונים בתדירות גבוהה. </w:t>
      </w:r>
      <w:r>
        <w:rPr>
          <w:rFonts w:cs="Calibri" w:hint="cs"/>
          <w:sz w:val="24"/>
          <w:szCs w:val="24"/>
          <w:rtl/>
        </w:rPr>
        <w:lastRenderedPageBreak/>
        <w:t>כיוון</w:t>
      </w:r>
      <w:r w:rsidRPr="00B644B7">
        <w:rPr>
          <w:rFonts w:cs="Calibri"/>
          <w:sz w:val="24"/>
          <w:szCs w:val="24"/>
          <w:rtl/>
        </w:rPr>
        <w:t xml:space="preserve"> שהציפיות לאינפלציה משפיעות על האינפלציה בפועל</w:t>
      </w:r>
      <w:r>
        <w:rPr>
          <w:rFonts w:cs="Calibri" w:hint="cs"/>
          <w:sz w:val="24"/>
          <w:szCs w:val="24"/>
          <w:rtl/>
        </w:rPr>
        <w:t xml:space="preserve"> (</w:t>
      </w:r>
      <w:r>
        <w:rPr>
          <w:rFonts w:cs="Calibri"/>
          <w:sz w:val="24"/>
          <w:szCs w:val="24"/>
        </w:rPr>
        <w:t>Lucas, 1972</w:t>
      </w:r>
      <w:r>
        <w:rPr>
          <w:rFonts w:cs="Calibri" w:hint="cs"/>
          <w:sz w:val="24"/>
          <w:szCs w:val="24"/>
          <w:rtl/>
        </w:rPr>
        <w:t>)</w:t>
      </w:r>
      <w:r w:rsidRPr="00B644B7">
        <w:rPr>
          <w:rFonts w:cs="Calibri"/>
          <w:sz w:val="24"/>
          <w:szCs w:val="24"/>
          <w:rtl/>
        </w:rPr>
        <w:t xml:space="preserve">, השפעת </w:t>
      </w:r>
      <w:r>
        <w:rPr>
          <w:rFonts w:cs="Calibri" w:hint="cs"/>
          <w:sz w:val="24"/>
          <w:szCs w:val="24"/>
          <w:rtl/>
        </w:rPr>
        <w:t>ה</w:t>
      </w:r>
      <w:r w:rsidRPr="00B644B7">
        <w:rPr>
          <w:rFonts w:cs="Calibri"/>
          <w:sz w:val="24"/>
          <w:szCs w:val="24"/>
          <w:rtl/>
        </w:rPr>
        <w:t>עלייה בג</w:t>
      </w:r>
      <w:r>
        <w:rPr>
          <w:rFonts w:cs="Calibri" w:hint="cs"/>
          <w:sz w:val="24"/>
          <w:szCs w:val="24"/>
          <w:rtl/>
        </w:rPr>
        <w:t>י</w:t>
      </w:r>
      <w:r w:rsidRPr="00B644B7">
        <w:rPr>
          <w:rFonts w:cs="Calibri"/>
          <w:sz w:val="24"/>
          <w:szCs w:val="24"/>
          <w:rtl/>
        </w:rPr>
        <w:t xml:space="preserve">רעון על הציפיות לאינפלציה </w:t>
      </w:r>
      <w:r>
        <w:rPr>
          <w:rFonts w:cs="Calibri" w:hint="cs"/>
          <w:sz w:val="24"/>
          <w:szCs w:val="24"/>
          <w:rtl/>
        </w:rPr>
        <w:t>מצביעה</w:t>
      </w:r>
      <w:r w:rsidRPr="00B644B7">
        <w:rPr>
          <w:rFonts w:cs="Calibri"/>
          <w:sz w:val="24"/>
          <w:szCs w:val="24"/>
          <w:rtl/>
        </w:rPr>
        <w:t xml:space="preserve"> על ערוץ </w:t>
      </w:r>
      <w:r>
        <w:rPr>
          <w:rFonts w:cs="Calibri"/>
          <w:sz w:val="24"/>
          <w:szCs w:val="24"/>
          <w:rtl/>
        </w:rPr>
        <w:t>סיכון</w:t>
      </w:r>
      <w:r>
        <w:rPr>
          <w:rFonts w:cs="Calibri" w:hint="cs"/>
          <w:sz w:val="24"/>
          <w:szCs w:val="24"/>
          <w:rtl/>
        </w:rPr>
        <w:t xml:space="preserve"> של עלייה ב</w:t>
      </w:r>
      <w:r w:rsidRPr="00B644B7">
        <w:rPr>
          <w:rFonts w:cs="Calibri"/>
          <w:sz w:val="24"/>
          <w:szCs w:val="24"/>
          <w:rtl/>
        </w:rPr>
        <w:t>אינפלציה</w:t>
      </w:r>
      <w:r>
        <w:rPr>
          <w:rFonts w:cs="Calibri" w:hint="cs"/>
          <w:sz w:val="24"/>
          <w:szCs w:val="24"/>
          <w:rtl/>
        </w:rPr>
        <w:t>,</w:t>
      </w:r>
      <w:r w:rsidRPr="00B644B7">
        <w:rPr>
          <w:rFonts w:cs="Calibri"/>
          <w:sz w:val="24"/>
          <w:szCs w:val="24"/>
          <w:rtl/>
        </w:rPr>
        <w:t xml:space="preserve"> </w:t>
      </w:r>
      <w:r>
        <w:rPr>
          <w:rFonts w:cs="Calibri" w:hint="cs"/>
          <w:sz w:val="24"/>
          <w:szCs w:val="24"/>
          <w:rtl/>
        </w:rPr>
        <w:t>הקשור גם ל</w:t>
      </w:r>
      <w:r w:rsidRPr="00B644B7">
        <w:rPr>
          <w:rFonts w:cs="Calibri"/>
          <w:sz w:val="24"/>
          <w:szCs w:val="24"/>
          <w:rtl/>
        </w:rPr>
        <w:t xml:space="preserve">מדיניות הפיסקלית. </w:t>
      </w:r>
    </w:p>
    <w:p w:rsidR="00422F40" w:rsidRDefault="00422F40" w:rsidP="00422F40">
      <w:pPr>
        <w:spacing w:line="360" w:lineRule="auto"/>
        <w:jc w:val="both"/>
        <w:rPr>
          <w:rFonts w:cs="Calibri"/>
          <w:sz w:val="24"/>
          <w:szCs w:val="24"/>
          <w:rtl/>
        </w:rPr>
      </w:pPr>
      <w:r>
        <w:rPr>
          <w:rFonts w:cs="Calibri" w:hint="cs"/>
          <w:b/>
          <w:bCs/>
          <w:sz w:val="24"/>
          <w:szCs w:val="24"/>
          <w:rtl/>
        </w:rPr>
        <w:t>ה</w:t>
      </w:r>
      <w:r w:rsidRPr="00B644B7">
        <w:rPr>
          <w:rFonts w:cs="Calibri"/>
          <w:b/>
          <w:bCs/>
          <w:sz w:val="24"/>
          <w:szCs w:val="24"/>
          <w:rtl/>
        </w:rPr>
        <w:t>נתונים</w:t>
      </w:r>
      <w:r>
        <w:rPr>
          <w:rFonts w:cs="Calibri" w:hint="cs"/>
          <w:b/>
          <w:bCs/>
          <w:sz w:val="24"/>
          <w:szCs w:val="24"/>
          <w:rtl/>
        </w:rPr>
        <w:t>:</w:t>
      </w:r>
      <w:r w:rsidRPr="00B644B7">
        <w:rPr>
          <w:rFonts w:cs="Calibri"/>
          <w:b/>
          <w:bCs/>
          <w:sz w:val="24"/>
          <w:szCs w:val="24"/>
          <w:rtl/>
        </w:rPr>
        <w:t xml:space="preserve"> </w:t>
      </w:r>
      <w:r w:rsidRPr="00B644B7">
        <w:rPr>
          <w:rFonts w:cs="Calibri"/>
          <w:sz w:val="24"/>
          <w:szCs w:val="24"/>
          <w:rtl/>
        </w:rPr>
        <w:t>הניתוח מתמקד בנתונים בתדירות יומית</w:t>
      </w:r>
      <w:r>
        <w:rPr>
          <w:rFonts w:cs="Calibri" w:hint="cs"/>
          <w:sz w:val="24"/>
          <w:szCs w:val="24"/>
          <w:rtl/>
        </w:rPr>
        <w:t>,</w:t>
      </w:r>
      <w:r w:rsidRPr="00B644B7">
        <w:rPr>
          <w:rFonts w:cs="Calibri"/>
          <w:sz w:val="24"/>
          <w:szCs w:val="24"/>
          <w:rtl/>
        </w:rPr>
        <w:t xml:space="preserve"> </w:t>
      </w:r>
      <w:r>
        <w:rPr>
          <w:rFonts w:cs="Calibri" w:hint="cs"/>
          <w:sz w:val="24"/>
          <w:szCs w:val="24"/>
          <w:rtl/>
        </w:rPr>
        <w:t>ובוחן</w:t>
      </w:r>
      <w:r w:rsidRPr="00B644B7">
        <w:rPr>
          <w:rFonts w:cs="Calibri"/>
          <w:sz w:val="24"/>
          <w:szCs w:val="24"/>
          <w:rtl/>
        </w:rPr>
        <w:t xml:space="preserve"> את השינוי </w:t>
      </w:r>
      <w:r>
        <w:rPr>
          <w:rFonts w:cs="Calibri" w:hint="cs"/>
          <w:sz w:val="24"/>
          <w:szCs w:val="24"/>
          <w:rtl/>
        </w:rPr>
        <w:t>שחל</w:t>
      </w:r>
      <w:r w:rsidRPr="0094722D">
        <w:rPr>
          <w:rFonts w:cs="Calibri" w:hint="cs"/>
          <w:sz w:val="24"/>
          <w:szCs w:val="24"/>
          <w:rtl/>
        </w:rPr>
        <w:t xml:space="preserve"> ב</w:t>
      </w:r>
      <w:r w:rsidRPr="0094722D">
        <w:rPr>
          <w:rFonts w:cs="Calibri"/>
          <w:sz w:val="24"/>
          <w:szCs w:val="24"/>
          <w:rtl/>
        </w:rPr>
        <w:t xml:space="preserve">ציפיות </w:t>
      </w:r>
      <w:r w:rsidRPr="0094722D">
        <w:rPr>
          <w:rFonts w:cs="Calibri" w:hint="cs"/>
          <w:sz w:val="24"/>
          <w:szCs w:val="24"/>
          <w:rtl/>
        </w:rPr>
        <w:t>ה</w:t>
      </w:r>
      <w:r w:rsidRPr="0094722D">
        <w:rPr>
          <w:rFonts w:cs="Calibri"/>
          <w:sz w:val="24"/>
          <w:szCs w:val="24"/>
          <w:rtl/>
        </w:rPr>
        <w:t>אינפלציה לשנה משוק ההון (</w:t>
      </w:r>
      <w:r w:rsidRPr="0094722D">
        <w:rPr>
          <w:rFonts w:cs="Calibri"/>
          <w:sz w:val="24"/>
          <w:szCs w:val="24"/>
        </w:rPr>
        <w:t>Breakeven</w:t>
      </w:r>
      <w:r w:rsidRPr="0094722D">
        <w:rPr>
          <w:rFonts w:cs="Calibri"/>
          <w:sz w:val="24"/>
          <w:szCs w:val="24"/>
          <w:rtl/>
        </w:rPr>
        <w:t>)</w:t>
      </w:r>
      <w:r>
        <w:rPr>
          <w:rFonts w:cs="Calibri" w:hint="cs"/>
          <w:sz w:val="24"/>
          <w:szCs w:val="24"/>
          <w:rtl/>
        </w:rPr>
        <w:t xml:space="preserve"> בחלון-זמן קצר</w:t>
      </w:r>
      <w:r w:rsidRPr="00B644B7">
        <w:rPr>
          <w:rFonts w:cs="Calibri"/>
          <w:sz w:val="24"/>
          <w:szCs w:val="24"/>
          <w:rtl/>
        </w:rPr>
        <w:t xml:space="preserve"> סביב </w:t>
      </w:r>
      <w:r>
        <w:rPr>
          <w:rFonts w:cs="Calibri" w:hint="cs"/>
          <w:sz w:val="24"/>
          <w:szCs w:val="24"/>
          <w:rtl/>
        </w:rPr>
        <w:t>יום</w:t>
      </w:r>
      <w:r w:rsidRPr="00B644B7">
        <w:rPr>
          <w:rFonts w:cs="Calibri"/>
          <w:sz w:val="24"/>
          <w:szCs w:val="24"/>
          <w:rtl/>
        </w:rPr>
        <w:t xml:space="preserve"> </w:t>
      </w:r>
      <w:r>
        <w:rPr>
          <w:rFonts w:cs="Calibri" w:hint="cs"/>
          <w:sz w:val="24"/>
          <w:szCs w:val="24"/>
          <w:rtl/>
        </w:rPr>
        <w:t>ה</w:t>
      </w:r>
      <w:r w:rsidRPr="00B644B7">
        <w:rPr>
          <w:rFonts w:cs="Calibri"/>
          <w:sz w:val="24"/>
          <w:szCs w:val="24"/>
          <w:rtl/>
        </w:rPr>
        <w:t xml:space="preserve">פרסום </w:t>
      </w:r>
      <w:r>
        <w:rPr>
          <w:rFonts w:cs="Calibri" w:hint="cs"/>
          <w:sz w:val="24"/>
          <w:szCs w:val="24"/>
          <w:rtl/>
        </w:rPr>
        <w:t xml:space="preserve">של נתון </w:t>
      </w:r>
      <w:r w:rsidRPr="00B644B7">
        <w:rPr>
          <w:rFonts w:cs="Calibri"/>
          <w:sz w:val="24"/>
          <w:szCs w:val="24"/>
          <w:rtl/>
        </w:rPr>
        <w:t>הג</w:t>
      </w:r>
      <w:r>
        <w:rPr>
          <w:rFonts w:cs="Calibri" w:hint="cs"/>
          <w:sz w:val="24"/>
          <w:szCs w:val="24"/>
          <w:rtl/>
        </w:rPr>
        <w:t>י</w:t>
      </w:r>
      <w:r w:rsidRPr="00B644B7">
        <w:rPr>
          <w:rFonts w:cs="Calibri"/>
          <w:sz w:val="24"/>
          <w:szCs w:val="24"/>
          <w:rtl/>
        </w:rPr>
        <w:t>רעון</w:t>
      </w:r>
      <w:r>
        <w:rPr>
          <w:rFonts w:cs="Calibri" w:hint="cs"/>
          <w:sz w:val="24"/>
          <w:szCs w:val="24"/>
          <w:rtl/>
        </w:rPr>
        <w:t xml:space="preserve"> המצטבר בשנים עשר החודשים האחרונים כאחוז מהתוצר</w:t>
      </w:r>
      <w:r>
        <w:rPr>
          <w:rStyle w:val="af2"/>
          <w:rFonts w:cs="Calibri"/>
          <w:sz w:val="24"/>
          <w:szCs w:val="24"/>
          <w:rtl/>
        </w:rPr>
        <w:footnoteReference w:id="3"/>
      </w:r>
      <w:r>
        <w:rPr>
          <w:rFonts w:cs="Calibri" w:hint="cs"/>
          <w:sz w:val="24"/>
          <w:szCs w:val="24"/>
          <w:rtl/>
        </w:rPr>
        <w:t>. המדגם כולל את</w:t>
      </w:r>
      <w:r w:rsidRPr="00B644B7">
        <w:rPr>
          <w:rFonts w:cs="Calibri"/>
          <w:sz w:val="24"/>
          <w:szCs w:val="24"/>
          <w:rtl/>
        </w:rPr>
        <w:t xml:space="preserve"> התקופה שמינואר </w:t>
      </w:r>
      <w:r>
        <w:rPr>
          <w:rFonts w:cs="Calibri" w:hint="cs"/>
          <w:sz w:val="24"/>
          <w:szCs w:val="24"/>
          <w:rtl/>
        </w:rPr>
        <w:t>2015</w:t>
      </w:r>
      <w:r w:rsidRPr="00B644B7">
        <w:rPr>
          <w:rFonts w:cs="Calibri"/>
          <w:sz w:val="24"/>
          <w:szCs w:val="24"/>
          <w:rtl/>
        </w:rPr>
        <w:t xml:space="preserve"> עד </w:t>
      </w:r>
      <w:r>
        <w:rPr>
          <w:rFonts w:cs="Calibri" w:hint="cs"/>
          <w:sz w:val="24"/>
          <w:szCs w:val="24"/>
          <w:rtl/>
        </w:rPr>
        <w:t>דצמבר</w:t>
      </w:r>
      <w:r w:rsidRPr="00B644B7">
        <w:rPr>
          <w:rFonts w:cs="Calibri"/>
          <w:sz w:val="24"/>
          <w:szCs w:val="24"/>
          <w:rtl/>
        </w:rPr>
        <w:t xml:space="preserve"> 2024</w:t>
      </w:r>
      <w:r>
        <w:rPr>
          <w:rFonts w:cs="Calibri" w:hint="cs"/>
          <w:sz w:val="24"/>
          <w:szCs w:val="24"/>
          <w:rtl/>
        </w:rPr>
        <w:t>.</w:t>
      </w:r>
      <w:r w:rsidRPr="00B644B7">
        <w:rPr>
          <w:rFonts w:cs="Calibri"/>
          <w:sz w:val="24"/>
          <w:szCs w:val="24"/>
          <w:rtl/>
        </w:rPr>
        <w:t xml:space="preserve"> </w:t>
      </w:r>
    </w:p>
    <w:p w:rsidR="00422F40" w:rsidRDefault="00422F40" w:rsidP="00422F40">
      <w:pPr>
        <w:tabs>
          <w:tab w:val="left" w:pos="1061"/>
        </w:tabs>
        <w:spacing w:line="360" w:lineRule="auto"/>
        <w:jc w:val="both"/>
        <w:rPr>
          <w:rFonts w:cs="Calibri"/>
          <w:sz w:val="24"/>
          <w:szCs w:val="24"/>
          <w:rtl/>
        </w:rPr>
      </w:pPr>
      <w:r>
        <w:rPr>
          <w:rFonts w:cs="Calibri" w:hint="cs"/>
          <w:b/>
          <w:bCs/>
          <w:sz w:val="24"/>
          <w:szCs w:val="24"/>
          <w:rtl/>
        </w:rPr>
        <w:t xml:space="preserve">המתודולוגיה והתוצאות: </w:t>
      </w:r>
      <w:r>
        <w:rPr>
          <w:rFonts w:cs="Calibri" w:hint="cs"/>
          <w:sz w:val="24"/>
          <w:szCs w:val="24"/>
          <w:rtl/>
        </w:rPr>
        <w:t>הנתון, המתפרסם אחת לחודש, של הגירעון המצטבר בשנים עשר החודשים האחרונים כאחוז מהתוצ</w:t>
      </w:r>
      <w:r w:rsidRPr="009D75B4">
        <w:rPr>
          <w:rFonts w:cs="Calibri" w:hint="cs"/>
          <w:sz w:val="24"/>
          <w:szCs w:val="24"/>
          <w:rtl/>
        </w:rPr>
        <w:t xml:space="preserve">ר (איור 1) </w:t>
      </w:r>
      <w:r>
        <w:rPr>
          <w:rFonts w:cs="Calibri" w:hint="cs"/>
          <w:sz w:val="24"/>
          <w:szCs w:val="24"/>
          <w:rtl/>
        </w:rPr>
        <w:t>מתייחס לחודש שהסתיים, וכולל הן רכיב שהיה צפוי מראש (כולל אחד-עשר החודשים הקודמים שכבר היו ידועים) והן רכיב לא צפוי. כיוון ששוק ההון צופה פני עתיד, רק לרכיב הלא צפוי בגירעון עשויה להיות השפעה על השינוי בציפיות לאינפלציה בזמן הפרסום. החזאים הכלכליים והשחקנים בשוק אינם מפרסמים תחזית לגירעון באופן שוטף, ולכן קשה לבודד את הרכיב המפתיע בגירעון ולבחון את השפעתו על הציפיות לאינפלציה. כדי להתמודד עם מגבלה זו בנינו תחזית סטטיסטית לגירעון המצטבר</w:t>
      </w:r>
      <w:r>
        <w:rPr>
          <w:rStyle w:val="af2"/>
          <w:rFonts w:cs="Calibri"/>
          <w:sz w:val="24"/>
          <w:szCs w:val="24"/>
          <w:rtl/>
        </w:rPr>
        <w:footnoteReference w:id="4"/>
      </w:r>
      <w:r>
        <w:rPr>
          <w:rFonts w:cs="Calibri" w:hint="cs"/>
          <w:sz w:val="24"/>
          <w:szCs w:val="24"/>
          <w:rtl/>
        </w:rPr>
        <w:t>. הניתוח משתמש בטעויות התחזית כאומדן להפתעה בגירעון.</w:t>
      </w:r>
    </w:p>
    <w:tbl>
      <w:tblPr>
        <w:tblStyle w:val="af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422F40" w:rsidTr="00457958">
        <w:tc>
          <w:tcPr>
            <w:tcW w:w="8296" w:type="dxa"/>
          </w:tcPr>
          <w:p w:rsidR="00422F40" w:rsidRDefault="00422F40" w:rsidP="00457958">
            <w:pPr>
              <w:tabs>
                <w:tab w:val="left" w:pos="1061"/>
              </w:tabs>
              <w:spacing w:line="360" w:lineRule="auto"/>
              <w:jc w:val="center"/>
              <w:rPr>
                <w:rFonts w:cs="Calibri"/>
                <w:sz w:val="24"/>
                <w:szCs w:val="24"/>
                <w:rtl/>
              </w:rPr>
            </w:pPr>
            <w:r>
              <w:rPr>
                <w:rFonts w:cs="Calibri"/>
                <w:noProof/>
                <w:sz w:val="24"/>
                <w:szCs w:val="24"/>
                <w:rtl/>
              </w:rPr>
              <w:drawing>
                <wp:inline distT="0" distB="0" distL="0" distR="0" wp14:anchorId="735F51ED" wp14:editId="2AD6F220">
                  <wp:extent cx="4959288" cy="3059986"/>
                  <wp:effectExtent l="0" t="0" r="0" b="762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ecast and forecast ga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9288" cy="3059986"/>
                          </a:xfrm>
                          <a:prstGeom prst="rect">
                            <a:avLst/>
                          </a:prstGeom>
                        </pic:spPr>
                      </pic:pic>
                    </a:graphicData>
                  </a:graphic>
                </wp:inline>
              </w:drawing>
            </w:r>
          </w:p>
        </w:tc>
      </w:tr>
      <w:tr w:rsidR="00422F40" w:rsidTr="00457958">
        <w:trPr>
          <w:trHeight w:val="510"/>
        </w:trPr>
        <w:tc>
          <w:tcPr>
            <w:tcW w:w="8296" w:type="dxa"/>
          </w:tcPr>
          <w:p w:rsidR="00422F40" w:rsidRPr="00195B6A" w:rsidRDefault="00422F40" w:rsidP="00457958">
            <w:pPr>
              <w:tabs>
                <w:tab w:val="left" w:pos="1061"/>
              </w:tabs>
              <w:spacing w:line="360" w:lineRule="auto"/>
              <w:rPr>
                <w:rFonts w:cs="Calibri"/>
                <w:noProof/>
                <w:sz w:val="20"/>
                <w:szCs w:val="20"/>
                <w:rtl/>
              </w:rPr>
            </w:pPr>
            <w:r w:rsidRPr="00195B6A">
              <w:rPr>
                <w:rFonts w:cs="Calibri" w:hint="eastAsia"/>
                <w:b/>
                <w:bCs/>
                <w:noProof/>
                <w:sz w:val="20"/>
                <w:szCs w:val="20"/>
                <w:rtl/>
              </w:rPr>
              <w:t>המקור</w:t>
            </w:r>
            <w:r w:rsidRPr="00195B6A">
              <w:rPr>
                <w:rFonts w:cs="Calibri"/>
                <w:b/>
                <w:bCs/>
                <w:noProof/>
                <w:sz w:val="20"/>
                <w:szCs w:val="20"/>
                <w:rtl/>
              </w:rPr>
              <w:t xml:space="preserve">: </w:t>
            </w:r>
            <w:r w:rsidRPr="00195B6A">
              <w:rPr>
                <w:rFonts w:cs="Calibri" w:hint="eastAsia"/>
                <w:noProof/>
                <w:sz w:val="20"/>
                <w:szCs w:val="20"/>
                <w:rtl/>
              </w:rPr>
              <w:t>עיבודי</w:t>
            </w:r>
            <w:r w:rsidRPr="00195B6A">
              <w:rPr>
                <w:rFonts w:cs="Calibri"/>
                <w:noProof/>
                <w:sz w:val="20"/>
                <w:szCs w:val="20"/>
                <w:rtl/>
              </w:rPr>
              <w:t xml:space="preserve"> </w:t>
            </w:r>
            <w:r w:rsidRPr="00195B6A">
              <w:rPr>
                <w:rFonts w:cs="Calibri" w:hint="eastAsia"/>
                <w:noProof/>
                <w:sz w:val="20"/>
                <w:szCs w:val="20"/>
                <w:rtl/>
              </w:rPr>
              <w:t>בנק</w:t>
            </w:r>
            <w:r w:rsidRPr="00195B6A">
              <w:rPr>
                <w:rFonts w:cs="Calibri"/>
                <w:noProof/>
                <w:sz w:val="20"/>
                <w:szCs w:val="20"/>
                <w:rtl/>
              </w:rPr>
              <w:t xml:space="preserve"> </w:t>
            </w:r>
            <w:r w:rsidRPr="00195B6A">
              <w:rPr>
                <w:rFonts w:cs="Calibri" w:hint="eastAsia"/>
                <w:noProof/>
                <w:sz w:val="20"/>
                <w:szCs w:val="20"/>
                <w:rtl/>
              </w:rPr>
              <w:t>ישראל</w:t>
            </w:r>
            <w:r>
              <w:rPr>
                <w:rFonts w:cs="Calibri" w:hint="cs"/>
                <w:noProof/>
                <w:sz w:val="20"/>
                <w:szCs w:val="20"/>
                <w:rtl/>
              </w:rPr>
              <w:t>.</w:t>
            </w:r>
          </w:p>
        </w:tc>
      </w:tr>
    </w:tbl>
    <w:p w:rsidR="00422F40" w:rsidRDefault="00422F40" w:rsidP="00422F40">
      <w:pPr>
        <w:tabs>
          <w:tab w:val="left" w:pos="1061"/>
        </w:tabs>
        <w:spacing w:line="360" w:lineRule="auto"/>
        <w:jc w:val="both"/>
        <w:rPr>
          <w:rFonts w:cs="Calibri"/>
          <w:sz w:val="24"/>
          <w:szCs w:val="24"/>
          <w:rtl/>
        </w:rPr>
      </w:pPr>
      <w:r>
        <w:rPr>
          <w:rFonts w:cs="Calibri" w:hint="cs"/>
          <w:sz w:val="24"/>
          <w:szCs w:val="24"/>
          <w:rtl/>
        </w:rPr>
        <w:lastRenderedPageBreak/>
        <w:t xml:space="preserve">האמידה מבוססת על משוואה מסוג </w:t>
      </w:r>
      <w:r>
        <w:rPr>
          <w:rFonts w:cs="Calibri"/>
          <w:sz w:val="24"/>
          <w:szCs w:val="24"/>
        </w:rPr>
        <w:t>Local Projection</w:t>
      </w:r>
      <w:r>
        <w:rPr>
          <w:rFonts w:cs="Calibri" w:hint="cs"/>
          <w:sz w:val="24"/>
          <w:szCs w:val="24"/>
          <w:rtl/>
        </w:rPr>
        <w:t xml:space="preserve"> כדי לאמוד את התגובה המצטברת של ציפיות האינפלציה למידע על הגירעון:</w:t>
      </w:r>
    </w:p>
    <w:p w:rsidR="00422F40" w:rsidRDefault="00422F40" w:rsidP="00422F40">
      <w:pPr>
        <w:tabs>
          <w:tab w:val="left" w:pos="1061"/>
        </w:tabs>
        <w:jc w:val="both"/>
        <w:rPr>
          <w:rFonts w:cstheme="minorHAnsi"/>
          <w:i/>
          <w:sz w:val="24"/>
          <w:szCs w:val="24"/>
          <w:rtl/>
        </w:rPr>
      </w:pPr>
      <m:oMathPara>
        <m:oMath>
          <m:sSub>
            <m:sSubPr>
              <m:ctrlPr>
                <w:rPr>
                  <w:rFonts w:ascii="Cambria Math" w:hAnsi="Cambria Math" w:cstheme="minorHAnsi"/>
                  <w:i/>
                  <w:sz w:val="24"/>
                  <w:szCs w:val="24"/>
                </w:rPr>
              </m:ctrlPr>
            </m:sSubPr>
            <m:e>
              <m:r>
                <m:rPr>
                  <m:sty m:val="p"/>
                </m:rPr>
                <w:rPr>
                  <w:rFonts w:ascii="Cambria Math" w:hAnsi="Cambria Math" w:cstheme="minorHAnsi"/>
                  <w:sz w:val="24"/>
                  <w:szCs w:val="24"/>
                </w:rPr>
                <m:t>Δ</m:t>
              </m:r>
              <m:ctrlPr>
                <w:rPr>
                  <w:rFonts w:ascii="Cambria Math" w:hAnsi="Cambria Math" w:cstheme="minorHAnsi"/>
                  <w:sz w:val="24"/>
                  <w:szCs w:val="24"/>
                </w:rPr>
              </m:ctrlPr>
            </m:e>
            <m:sub>
              <m:r>
                <w:rPr>
                  <w:rFonts w:ascii="Cambria Math" w:hAnsi="Cambria Math" w:cstheme="minorHAnsi"/>
                  <w:sz w:val="24"/>
                  <w:szCs w:val="24"/>
                </w:rPr>
                <m:t>t-1,t+h</m:t>
              </m:r>
            </m:sub>
          </m:sSub>
          <m:sSup>
            <m:sSupPr>
              <m:ctrlPr>
                <w:rPr>
                  <w:rFonts w:ascii="Cambria Math" w:hAnsi="Cambria Math" w:cstheme="minorHAnsi"/>
                  <w:i/>
                  <w:sz w:val="24"/>
                  <w:szCs w:val="24"/>
                </w:rPr>
              </m:ctrlPr>
            </m:sSupPr>
            <m:e>
              <m:r>
                <w:rPr>
                  <w:rFonts w:ascii="Cambria Math" w:hAnsi="Cambria Math" w:cstheme="minorHAnsi"/>
                  <w:sz w:val="24"/>
                  <w:szCs w:val="24"/>
                </w:rPr>
                <m:t>π</m:t>
              </m:r>
            </m:e>
            <m:sup>
              <m:r>
                <m:rPr>
                  <m:sty m:val="p"/>
                </m:rPr>
                <w:rPr>
                  <w:rFonts w:ascii="Cambria Math" w:hAnsi="Cambria Math" w:cstheme="minorHAnsi"/>
                  <w:sz w:val="24"/>
                  <w:szCs w:val="24"/>
                </w:rPr>
                <m:t>e</m:t>
              </m:r>
            </m:sup>
          </m:sSup>
          <m:r>
            <m:rPr>
              <m:sty m:val="p"/>
            </m:rP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α</m:t>
              </m:r>
            </m:e>
            <m:sup>
              <m:r>
                <w:rPr>
                  <w:rFonts w:ascii="Cambria Math" w:hAnsi="Cambria Math" w:cstheme="minorHAnsi"/>
                  <w:sz w:val="24"/>
                  <w:szCs w:val="24"/>
                </w:rPr>
                <m:t>h</m:t>
              </m:r>
            </m:sup>
          </m:sSup>
          <m:r>
            <w:rPr>
              <w:rFonts w:ascii="Cambria Math" w:hAnsi="Cambria Math" w:cstheme="minorHAnsi"/>
              <w:sz w:val="24"/>
              <w:szCs w:val="24"/>
            </w:rPr>
            <m:t>×I</m:t>
          </m:r>
          <m:d>
            <m:dPr>
              <m:ctrlPr>
                <w:rPr>
                  <w:rFonts w:ascii="Cambria Math" w:hAnsi="Cambria Math" w:cstheme="minorHAnsi"/>
                  <w:i/>
                  <w:sz w:val="24"/>
                  <w:szCs w:val="24"/>
                </w:rPr>
              </m:ctrlPr>
            </m:dPr>
            <m:e>
              <m:r>
                <w:rPr>
                  <w:rFonts w:ascii="Cambria Math" w:hAnsi="Cambria Math" w:cstheme="minorHAnsi"/>
                  <w:sz w:val="24"/>
                  <w:szCs w:val="24"/>
                </w:rPr>
                <m:t>ReleaseDate</m:t>
              </m:r>
            </m:e>
          </m:d>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β</m:t>
              </m:r>
            </m:e>
            <m:sup>
              <m:r>
                <w:rPr>
                  <w:rFonts w:ascii="Cambria Math" w:hAnsi="Cambria Math" w:cstheme="minorHAnsi"/>
                  <w:sz w:val="24"/>
                  <w:szCs w:val="24"/>
                </w:rPr>
                <m:t>h</m:t>
              </m:r>
            </m:sup>
          </m:sSup>
          <m:r>
            <w:rPr>
              <w:rFonts w:ascii="Cambria Math" w:hAnsi="Cambria Math" w:cstheme="minorHAnsi"/>
              <w:sz w:val="24"/>
              <w:szCs w:val="24"/>
            </w:rPr>
            <m:t>×I</m:t>
          </m:r>
          <m:d>
            <m:dPr>
              <m:ctrlPr>
                <w:rPr>
                  <w:rFonts w:ascii="Cambria Math" w:hAnsi="Cambria Math" w:cstheme="minorHAnsi"/>
                  <w:i/>
                  <w:sz w:val="24"/>
                  <w:szCs w:val="24"/>
                </w:rPr>
              </m:ctrlPr>
            </m:dPr>
            <m:e>
              <m:r>
                <w:rPr>
                  <w:rFonts w:ascii="Cambria Math" w:hAnsi="Cambria Math" w:cstheme="minorHAnsi"/>
                  <w:sz w:val="24"/>
                  <w:szCs w:val="24"/>
                </w:rPr>
                <m:t>ReleaseDate</m:t>
              </m:r>
            </m:e>
          </m:d>
          <m:r>
            <m:rPr>
              <m:sty m:val="bi"/>
            </m:rPr>
            <w:rPr>
              <w:rFonts w:ascii="Cambria Math" w:hAnsi="Cambria Math" w:cstheme="minorHAnsi"/>
              <w:sz w:val="24"/>
              <w:szCs w:val="24"/>
            </w:rPr>
            <m:t>×</m:t>
          </m:r>
          <m:r>
            <w:rPr>
              <w:rFonts w:ascii="Cambria Math" w:hAnsi="Cambria Math" w:cstheme="minorHAnsi"/>
              <w:sz w:val="24"/>
              <w:szCs w:val="24"/>
            </w:rPr>
            <m:t>ForecastGa</m:t>
          </m:r>
          <m:sSub>
            <m:sSubPr>
              <m:ctrlPr>
                <w:rPr>
                  <w:rFonts w:ascii="Cambria Math" w:hAnsi="Cambria Math" w:cstheme="minorHAnsi"/>
                  <w:bCs/>
                  <w:i/>
                  <w:sz w:val="24"/>
                  <w:szCs w:val="24"/>
                </w:rPr>
              </m:ctrlPr>
            </m:sSubPr>
            <m:e>
              <m:r>
                <w:rPr>
                  <w:rFonts w:ascii="Cambria Math" w:hAnsi="Cambria Math" w:cstheme="minorHAnsi"/>
                  <w:sz w:val="24"/>
                  <w:szCs w:val="24"/>
                </w:rPr>
                <m:t>p</m:t>
              </m:r>
            </m:e>
            <m:sub>
              <m:r>
                <w:rPr>
                  <w:rFonts w:ascii="Cambria Math" w:hAnsi="Cambria Math" w:cstheme="minorHAnsi"/>
                  <w:sz w:val="24"/>
                  <w:szCs w:val="24"/>
                </w:rPr>
                <m:t>t</m:t>
              </m:r>
            </m:sub>
          </m:sSub>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γ</m:t>
              </m:r>
            </m:e>
            <m:sup>
              <m:r>
                <w:rPr>
                  <w:rFonts w:ascii="Cambria Math" w:hAnsi="Cambria Math" w:cstheme="minorHAnsi"/>
                  <w:sz w:val="24"/>
                  <w:szCs w:val="24"/>
                </w:rPr>
                <m:t>h</m:t>
              </m:r>
            </m:sup>
          </m:sSup>
          <m:sSub>
            <m:sSubPr>
              <m:ctrlPr>
                <w:rPr>
                  <w:rFonts w:ascii="Cambria Math" w:hAnsi="Cambria Math" w:cstheme="minorHAnsi"/>
                  <w:i/>
                  <w:sz w:val="24"/>
                  <w:szCs w:val="24"/>
                </w:rPr>
              </m:ctrlPr>
            </m:sSubPr>
            <m:e>
              <m:r>
                <m:rPr>
                  <m:sty m:val="p"/>
                </m:rPr>
                <w:rPr>
                  <w:rFonts w:ascii="Cambria Math" w:hAnsi="Cambria Math" w:cstheme="minorHAnsi"/>
                  <w:sz w:val="24"/>
                  <w:szCs w:val="24"/>
                </w:rPr>
                <m:t>Δ</m:t>
              </m:r>
              <m:ctrlPr>
                <w:rPr>
                  <w:rFonts w:ascii="Cambria Math" w:hAnsi="Cambria Math" w:cstheme="minorHAnsi"/>
                  <w:sz w:val="24"/>
                  <w:szCs w:val="24"/>
                </w:rPr>
              </m:ctrlPr>
            </m:e>
            <m:sub>
              <m:r>
                <w:rPr>
                  <w:rFonts w:ascii="Cambria Math" w:hAnsi="Cambria Math" w:cstheme="minorHAnsi"/>
                  <w:sz w:val="24"/>
                  <w:szCs w:val="24"/>
                </w:rPr>
                <m:t>t-1,t+1</m:t>
              </m:r>
            </m:sub>
          </m:sSub>
          <m:r>
            <w:rPr>
              <w:rFonts w:ascii="Cambria Math" w:hAnsi="Cambria Math" w:cstheme="minorHAnsi"/>
              <w:sz w:val="24"/>
              <w:szCs w:val="24"/>
            </w:rPr>
            <m:t>X+</m:t>
          </m:r>
          <m:sSub>
            <m:sSubPr>
              <m:ctrlPr>
                <w:rPr>
                  <w:rFonts w:ascii="Cambria Math" w:hAnsi="Cambria Math" w:cstheme="minorHAnsi"/>
                  <w:i/>
                  <w:sz w:val="24"/>
                  <w:szCs w:val="24"/>
                </w:rPr>
              </m:ctrlPr>
            </m:sSubPr>
            <m:e>
              <m:r>
                <w:rPr>
                  <w:rFonts w:ascii="Cambria Math" w:hAnsi="Cambria Math" w:cstheme="minorHAnsi"/>
                  <w:sz w:val="24"/>
                  <w:szCs w:val="24"/>
                </w:rPr>
                <m:t>ϵ</m:t>
              </m:r>
            </m:e>
            <m:sub>
              <m:r>
                <w:rPr>
                  <w:rFonts w:ascii="Cambria Math" w:hAnsi="Cambria Math" w:cstheme="minorHAnsi"/>
                  <w:sz w:val="24"/>
                  <w:szCs w:val="24"/>
                </w:rPr>
                <m:t>t+h</m:t>
              </m:r>
            </m:sub>
          </m:sSub>
        </m:oMath>
      </m:oMathPara>
    </w:p>
    <w:p w:rsidR="00422F40" w:rsidRPr="008E40BF" w:rsidRDefault="00422F40" w:rsidP="00422F40">
      <w:pPr>
        <w:tabs>
          <w:tab w:val="left" w:pos="1061"/>
        </w:tabs>
        <w:spacing w:line="360" w:lineRule="auto"/>
        <w:jc w:val="both"/>
        <w:rPr>
          <w:rFonts w:cstheme="minorHAnsi"/>
          <w:i/>
          <w:sz w:val="24"/>
          <w:szCs w:val="24"/>
          <w:rtl/>
        </w:rPr>
      </w:pPr>
      <w:r>
        <w:rPr>
          <w:rFonts w:eastAsia="Times New Roman" w:cs="Calibri" w:hint="cs"/>
          <w:i/>
          <w:sz w:val="24"/>
          <w:szCs w:val="24"/>
          <w:rtl/>
        </w:rPr>
        <w:t xml:space="preserve">כאשר </w:t>
      </w:r>
      <m:oMath>
        <m:sSub>
          <m:sSubPr>
            <m:ctrlPr>
              <w:rPr>
                <w:rFonts w:ascii="Cambria Math" w:hAnsi="Cambria Math" w:cstheme="minorHAnsi"/>
                <w:i/>
                <w:sz w:val="24"/>
                <w:szCs w:val="24"/>
              </w:rPr>
            </m:ctrlPr>
          </m:sSubPr>
          <m:e>
            <m:r>
              <m:rPr>
                <m:sty m:val="p"/>
              </m:rPr>
              <w:rPr>
                <w:rFonts w:ascii="Cambria Math" w:hAnsi="Cambria Math" w:cstheme="minorHAnsi"/>
                <w:sz w:val="24"/>
                <w:szCs w:val="24"/>
              </w:rPr>
              <m:t>Δ</m:t>
            </m:r>
            <m:ctrlPr>
              <w:rPr>
                <w:rFonts w:ascii="Cambria Math" w:hAnsi="Cambria Math" w:cstheme="minorHAnsi"/>
                <w:sz w:val="24"/>
                <w:szCs w:val="24"/>
              </w:rPr>
            </m:ctrlPr>
          </m:e>
          <m:sub>
            <m:r>
              <w:rPr>
                <w:rFonts w:ascii="Cambria Math" w:hAnsi="Cambria Math" w:cstheme="minorHAnsi"/>
                <w:sz w:val="24"/>
                <w:szCs w:val="24"/>
              </w:rPr>
              <m:t>t-1,t+h</m:t>
            </m:r>
          </m:sub>
        </m:sSub>
        <m:sSup>
          <m:sSupPr>
            <m:ctrlPr>
              <w:rPr>
                <w:rFonts w:ascii="Cambria Math" w:hAnsi="Cambria Math" w:cstheme="minorHAnsi"/>
                <w:i/>
                <w:sz w:val="24"/>
                <w:szCs w:val="24"/>
              </w:rPr>
            </m:ctrlPr>
          </m:sSupPr>
          <m:e>
            <m:r>
              <w:rPr>
                <w:rFonts w:ascii="Cambria Math" w:hAnsi="Cambria Math" w:cstheme="minorHAnsi"/>
                <w:sz w:val="24"/>
                <w:szCs w:val="24"/>
              </w:rPr>
              <m:t>π</m:t>
            </m:r>
          </m:e>
          <m:sup>
            <m:r>
              <m:rPr>
                <m:sty m:val="p"/>
              </m:rPr>
              <w:rPr>
                <w:rFonts w:ascii="Cambria Math" w:hAnsi="Cambria Math" w:cstheme="minorHAnsi"/>
                <w:sz w:val="24"/>
                <w:szCs w:val="24"/>
              </w:rPr>
              <m:t>e</m:t>
            </m:r>
          </m:sup>
        </m:sSup>
      </m:oMath>
      <w:r>
        <w:rPr>
          <w:rFonts w:eastAsia="Times New Roman" w:cs="Calibri" w:hint="cs"/>
          <w:sz w:val="24"/>
          <w:szCs w:val="24"/>
          <w:rtl/>
        </w:rPr>
        <w:t xml:space="preserve"> הוא השינוי בציפיות לאינפלציה לשנה משוק ההון בין יום המסחר הקודם ליום המסחר ה-</w:t>
      </w:r>
      <w:r w:rsidRPr="00277113">
        <w:rPr>
          <w:rFonts w:ascii="Cambria" w:eastAsia="Times New Roman" w:hAnsi="Cambria" w:cs="Calibri"/>
          <w:i/>
          <w:iCs/>
          <w:sz w:val="24"/>
          <w:szCs w:val="24"/>
        </w:rPr>
        <w:t>h</w:t>
      </w:r>
      <w:r>
        <w:rPr>
          <w:rFonts w:eastAsia="Times New Roman" w:cs="Calibri" w:hint="cs"/>
          <w:sz w:val="24"/>
          <w:szCs w:val="24"/>
          <w:rtl/>
        </w:rPr>
        <w:t xml:space="preserve"> הבא.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ReleaseDate</m:t>
            </m:r>
          </m:e>
        </m:d>
      </m:oMath>
      <w:r>
        <w:rPr>
          <w:rFonts w:eastAsia="Times New Roman" w:cs="Calibri" w:hint="cs"/>
          <w:sz w:val="24"/>
          <w:szCs w:val="24"/>
          <w:rtl/>
        </w:rPr>
        <w:t xml:space="preserve"> הוא משתנה דמי ליום פרסום הגירעון, ו-</w:t>
      </w:r>
      <m:oMath>
        <m:r>
          <w:rPr>
            <w:rFonts w:ascii="Cambria Math" w:hAnsi="Cambria Math" w:cs="Times New Roman"/>
            <w:sz w:val="24"/>
            <w:szCs w:val="24"/>
          </w:rPr>
          <m:t xml:space="preserve"> ForecastGa</m:t>
        </m:r>
        <m:sSub>
          <m:sSubPr>
            <m:ctrlPr>
              <w:rPr>
                <w:rFonts w:ascii="Cambria Math" w:hAnsi="Cambria Math" w:cs="Times New Roman"/>
                <w:bCs/>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oMath>
      <w:r>
        <w:rPr>
          <w:rFonts w:eastAsia="Times New Roman" w:cs="Calibri" w:hint="cs"/>
          <w:sz w:val="24"/>
          <w:szCs w:val="24"/>
          <w:rtl/>
        </w:rPr>
        <w:t xml:space="preserve">היא טעות התחזית לגירעון מהמודל הסטטיסטי. </w:t>
      </w:r>
      <w:r>
        <w:rPr>
          <w:rFonts w:cs="Calibri" w:hint="cs"/>
          <w:sz w:val="24"/>
          <w:szCs w:val="24"/>
          <w:rtl/>
        </w:rPr>
        <w:t>משתני הבקרה הכלולים ב-</w:t>
      </w:r>
      <m:oMath>
        <m:r>
          <w:rPr>
            <w:rFonts w:ascii="Cambria Math" w:hAnsi="Cambria Math" w:cs="Times New Roman"/>
            <w:sz w:val="24"/>
            <w:szCs w:val="24"/>
          </w:rPr>
          <m:t xml:space="preserve"> X</m:t>
        </m:r>
      </m:oMath>
      <w:r>
        <w:rPr>
          <w:rFonts w:cs="Calibri" w:hint="cs"/>
          <w:sz w:val="24"/>
          <w:szCs w:val="24"/>
          <w:rtl/>
        </w:rPr>
        <w:t xml:space="preserve"> הם השינויים בשער החליפין מול הדולר, במחיר חבית נפט ובציפיות לאינפלציה בארה"ב ביחס ליום המסחר הקודם. המשוואה כוללת גם שבעה פיגורים של השינוי היומי בציפיות האינפלציה, משתני דמי לשנה, לחודש, לימי החלטות הריבית ולימי פרסום מדד המחירים לצרכן. </w:t>
      </w:r>
    </w:p>
    <w:p w:rsidR="00422F40" w:rsidRDefault="00422F40" w:rsidP="00422F40">
      <w:pPr>
        <w:tabs>
          <w:tab w:val="left" w:pos="1061"/>
        </w:tabs>
        <w:spacing w:line="360" w:lineRule="auto"/>
        <w:jc w:val="both"/>
        <w:rPr>
          <w:rFonts w:cs="Calibri"/>
          <w:b/>
          <w:bCs/>
          <w:sz w:val="24"/>
          <w:szCs w:val="24"/>
          <w:rtl/>
        </w:rPr>
      </w:pPr>
      <w:r w:rsidRPr="0003068B">
        <w:rPr>
          <w:rFonts w:cs="Calibri" w:hint="cs"/>
          <w:sz w:val="24"/>
          <w:szCs w:val="24"/>
          <w:rtl/>
        </w:rPr>
        <w:t>איור 2</w:t>
      </w:r>
      <w:r>
        <w:rPr>
          <w:rFonts w:cs="Calibri" w:hint="cs"/>
          <w:sz w:val="24"/>
          <w:szCs w:val="24"/>
          <w:rtl/>
        </w:rPr>
        <w:t xml:space="preserve"> מציג את המקדם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h</m:t>
            </m:r>
          </m:sup>
        </m:sSup>
      </m:oMath>
      <w:r>
        <w:rPr>
          <w:rFonts w:eastAsia="Times New Roman" w:cs="Calibri" w:hint="cs"/>
          <w:sz w:val="24"/>
          <w:szCs w:val="24"/>
          <w:rtl/>
        </w:rPr>
        <w:t xml:space="preserve"> עבור 30 ימי המסחר שלאחר פרסום הגירעון</w:t>
      </w:r>
      <w:r w:rsidRPr="00446B50">
        <w:rPr>
          <w:rFonts w:cs="Calibri"/>
          <w:sz w:val="24"/>
          <w:szCs w:val="24"/>
          <w:rtl/>
        </w:rPr>
        <w:t>. נראה כי לאחר הפתעת גירעון בגודל אחוז תוצר</w:t>
      </w:r>
      <w:r>
        <w:rPr>
          <w:rStyle w:val="af2"/>
          <w:rFonts w:cs="Calibri"/>
          <w:sz w:val="24"/>
          <w:szCs w:val="24"/>
          <w:rtl/>
        </w:rPr>
        <w:footnoteReference w:id="5"/>
      </w:r>
      <w:r>
        <w:rPr>
          <w:rFonts w:cs="Calibri"/>
          <w:sz w:val="24"/>
          <w:szCs w:val="24"/>
          <w:rtl/>
        </w:rPr>
        <w:t xml:space="preserve"> </w:t>
      </w:r>
      <w:r w:rsidRPr="00446B50">
        <w:rPr>
          <w:rFonts w:cs="Calibri"/>
          <w:sz w:val="24"/>
          <w:szCs w:val="24"/>
          <w:rtl/>
        </w:rPr>
        <w:t xml:space="preserve">הציפיות לאינפלציה עולות ב-0.1–0.2 נקודת אחוז, והתגובה מובהקת </w:t>
      </w:r>
      <w:r>
        <w:rPr>
          <w:rFonts w:cs="Calibri"/>
          <w:sz w:val="24"/>
          <w:szCs w:val="24"/>
          <w:rtl/>
        </w:rPr>
        <w:t>בעיקר בשבוע הראשון שלאחר הפרסום</w:t>
      </w:r>
      <w:r>
        <w:rPr>
          <w:rStyle w:val="af2"/>
          <w:rFonts w:cs="Calibri"/>
          <w:sz w:val="24"/>
          <w:szCs w:val="24"/>
          <w:rtl/>
        </w:rPr>
        <w:footnoteReference w:id="6"/>
      </w:r>
      <w:r w:rsidRPr="00446B50">
        <w:rPr>
          <w:rFonts w:cs="Calibri"/>
          <w:sz w:val="24"/>
          <w:szCs w:val="24"/>
          <w:rtl/>
        </w:rPr>
        <w:t>. תוצאות דומות מתקבלות באמידה שמתבססת על מדגם שמסתיים בספטמבר 2023 (ערב המלחמה). משמע שההשפעה הנאמדת אינה תוצאה של שנת 2024 בלבד. תגובה חיובית אך חלשה מעט  יותר נמצאה גם עבור הציפיות לאינפלציה בטווח הארוך (</w:t>
      </w:r>
      <w:proofErr w:type="spellStart"/>
      <w:r w:rsidRPr="00446B50">
        <w:rPr>
          <w:rFonts w:cs="Calibri"/>
          <w:sz w:val="24"/>
          <w:szCs w:val="24"/>
          <w:rtl/>
        </w:rPr>
        <w:t>פורוורד</w:t>
      </w:r>
      <w:proofErr w:type="spellEnd"/>
      <w:r w:rsidRPr="00446B50">
        <w:rPr>
          <w:rFonts w:cs="Calibri"/>
          <w:sz w:val="24"/>
          <w:szCs w:val="24"/>
          <w:rtl/>
        </w:rPr>
        <w:t xml:space="preserve"> 5-10 שנים). איור 3 בודק אם תגובת השוק להפתעות חיוביות שונה מתגובתו להפתעות שליליות. התוצאות של שתי הבדיקות מלמדות שהציפיות לאינפלציה משוק ההון מגיבות באופן מובהק לפרסומים על גירעון גבוה מהצפוי, ואילו לגירעון נמוך מהצ</w:t>
      </w:r>
      <w:r>
        <w:rPr>
          <w:rFonts w:cs="Calibri"/>
          <w:sz w:val="24"/>
          <w:szCs w:val="24"/>
          <w:rtl/>
        </w:rPr>
        <w:t>פוי אין השפעה מובהקת על הציפיות</w:t>
      </w:r>
      <w:r>
        <w:rPr>
          <w:rStyle w:val="af2"/>
          <w:rFonts w:cs="Calibri"/>
          <w:sz w:val="24"/>
          <w:szCs w:val="24"/>
          <w:rtl/>
        </w:rPr>
        <w:footnoteReference w:id="7"/>
      </w:r>
      <w:r w:rsidRPr="00446B50">
        <w:rPr>
          <w:rFonts w:cs="Calibri"/>
          <w:sz w:val="24"/>
          <w:szCs w:val="24"/>
          <w:rtl/>
        </w:rPr>
        <w:t>. השימוש בהפתעות הגירעון מאפשר לזהות את התמסורת לציפיות האינפלציה בצורה נקייה, ולחשב, באופן עקיף, את תרומת גידולו של הגירעון בשנת 2024. נראה אפוא שלעליית הגירעון הממשלתי ביחס לרמתו ערב המלחמה (עלייה של 5.4 אחוזי תוצר) הייתה תרומה משמעותית (כחצי אחוז עד אחוז) לעלייתן של ציפיות האינפלציה.</w:t>
      </w:r>
    </w:p>
    <w:p w:rsidR="00422F40" w:rsidRDefault="00422F40" w:rsidP="00422F40">
      <w:pPr>
        <w:tabs>
          <w:tab w:val="left" w:pos="1061"/>
        </w:tabs>
        <w:spacing w:line="240" w:lineRule="auto"/>
        <w:jc w:val="both"/>
        <w:rPr>
          <w:rFonts w:cs="Calibri"/>
          <w:b/>
          <w:bCs/>
          <w:sz w:val="24"/>
          <w:szCs w:val="24"/>
          <w:rtl/>
        </w:rPr>
      </w:pPr>
      <w:r w:rsidRPr="001940C2">
        <w:rPr>
          <w:rFonts w:cs="Calibri" w:hint="cs"/>
          <w:b/>
          <w:bCs/>
          <w:sz w:val="24"/>
          <w:szCs w:val="24"/>
          <w:rtl/>
        </w:rPr>
        <w:t>מקורות</w:t>
      </w:r>
    </w:p>
    <w:p w:rsidR="00422F40" w:rsidRPr="004F4CE1" w:rsidRDefault="00422F40" w:rsidP="00422F40">
      <w:pPr>
        <w:tabs>
          <w:tab w:val="left" w:pos="7200"/>
        </w:tabs>
        <w:bidi w:val="0"/>
        <w:spacing w:line="240" w:lineRule="auto"/>
        <w:jc w:val="both"/>
        <w:rPr>
          <w:rFonts w:cstheme="minorHAnsi"/>
          <w:b/>
          <w:bCs/>
          <w:sz w:val="24"/>
          <w:szCs w:val="24"/>
        </w:rPr>
      </w:pPr>
      <w:r w:rsidRPr="004F4CE1">
        <w:rPr>
          <w:rFonts w:cstheme="minorHAnsi"/>
          <w:color w:val="222222"/>
          <w:sz w:val="20"/>
          <w:szCs w:val="20"/>
          <w:shd w:val="clear" w:color="auto" w:fill="FFFFFF"/>
        </w:rPr>
        <w:t>Cochrane, J. H. (2023). "The fiscal theory of the price level". Princeton University Press.</w:t>
      </w:r>
      <w:r w:rsidRPr="004F4CE1">
        <w:rPr>
          <w:rFonts w:cstheme="minorHAnsi"/>
          <w:color w:val="222222"/>
          <w:sz w:val="20"/>
          <w:szCs w:val="20"/>
          <w:shd w:val="clear" w:color="auto" w:fill="FFFFFF"/>
          <w:rtl/>
        </w:rPr>
        <w:t>‏</w:t>
      </w:r>
    </w:p>
    <w:p w:rsidR="00422F40" w:rsidRPr="004F4CE1" w:rsidRDefault="00422F40" w:rsidP="00422F40">
      <w:pPr>
        <w:tabs>
          <w:tab w:val="left" w:pos="7200"/>
        </w:tabs>
        <w:bidi w:val="0"/>
        <w:spacing w:line="240" w:lineRule="auto"/>
        <w:jc w:val="both"/>
        <w:rPr>
          <w:rFonts w:cstheme="minorHAnsi"/>
          <w:b/>
          <w:bCs/>
          <w:sz w:val="24"/>
          <w:szCs w:val="24"/>
        </w:rPr>
      </w:pPr>
      <w:proofErr w:type="spellStart"/>
      <w:r w:rsidRPr="004F4CE1">
        <w:rPr>
          <w:rFonts w:cstheme="minorHAnsi"/>
          <w:color w:val="222222"/>
          <w:sz w:val="20"/>
          <w:szCs w:val="20"/>
          <w:shd w:val="clear" w:color="auto" w:fill="FFFFFF"/>
        </w:rPr>
        <w:t>Coibion</w:t>
      </w:r>
      <w:proofErr w:type="spellEnd"/>
      <w:r w:rsidRPr="004F4CE1">
        <w:rPr>
          <w:rFonts w:cstheme="minorHAnsi"/>
          <w:color w:val="222222"/>
          <w:sz w:val="20"/>
          <w:szCs w:val="20"/>
          <w:shd w:val="clear" w:color="auto" w:fill="FFFFFF"/>
        </w:rPr>
        <w:t xml:space="preserve">, O., Y. </w:t>
      </w:r>
      <w:proofErr w:type="spellStart"/>
      <w:r w:rsidRPr="004F4CE1">
        <w:rPr>
          <w:rFonts w:cstheme="minorHAnsi"/>
          <w:color w:val="222222"/>
          <w:sz w:val="20"/>
          <w:szCs w:val="20"/>
          <w:shd w:val="clear" w:color="auto" w:fill="FFFFFF"/>
        </w:rPr>
        <w:t>Gorodnichenko</w:t>
      </w:r>
      <w:proofErr w:type="spellEnd"/>
      <w:r w:rsidRPr="004F4CE1">
        <w:rPr>
          <w:rFonts w:cstheme="minorHAnsi"/>
          <w:color w:val="222222"/>
          <w:sz w:val="20"/>
          <w:szCs w:val="20"/>
          <w:shd w:val="clear" w:color="auto" w:fill="FFFFFF"/>
        </w:rPr>
        <w:t xml:space="preserve"> &amp; M. Weber (2021). Fiscal policy and households’ inflation expectations: Evidence from a randomized control trial (No. w28485). National Bureau of Economic Research.</w:t>
      </w:r>
      <w:r w:rsidRPr="004F4CE1">
        <w:rPr>
          <w:rFonts w:cstheme="minorHAnsi"/>
          <w:color w:val="222222"/>
          <w:sz w:val="20"/>
          <w:szCs w:val="20"/>
          <w:shd w:val="clear" w:color="auto" w:fill="FFFFFF"/>
          <w:rtl/>
        </w:rPr>
        <w:t>‏</w:t>
      </w:r>
    </w:p>
    <w:p w:rsidR="00422F40" w:rsidRPr="004F4CE1" w:rsidRDefault="00422F40" w:rsidP="00422F40">
      <w:pPr>
        <w:tabs>
          <w:tab w:val="left" w:pos="7200"/>
        </w:tabs>
        <w:bidi w:val="0"/>
        <w:spacing w:line="240" w:lineRule="auto"/>
        <w:jc w:val="both"/>
        <w:rPr>
          <w:rFonts w:cstheme="minorHAnsi"/>
          <w:b/>
          <w:bCs/>
          <w:sz w:val="24"/>
          <w:szCs w:val="24"/>
        </w:rPr>
      </w:pPr>
      <w:r w:rsidRPr="004F4CE1">
        <w:rPr>
          <w:rFonts w:cstheme="minorHAnsi"/>
          <w:color w:val="222222"/>
          <w:sz w:val="20"/>
          <w:szCs w:val="20"/>
          <w:shd w:val="clear" w:color="auto" w:fill="FFFFFF"/>
        </w:rPr>
        <w:t xml:space="preserve">Ferrara, L., L. </w:t>
      </w:r>
      <w:proofErr w:type="spellStart"/>
      <w:r w:rsidRPr="004F4CE1">
        <w:rPr>
          <w:rFonts w:cstheme="minorHAnsi"/>
          <w:color w:val="222222"/>
          <w:sz w:val="20"/>
          <w:szCs w:val="20"/>
          <w:shd w:val="clear" w:color="auto" w:fill="FFFFFF"/>
        </w:rPr>
        <w:t>Metelli</w:t>
      </w:r>
      <w:proofErr w:type="spellEnd"/>
      <w:r w:rsidRPr="004F4CE1">
        <w:rPr>
          <w:rFonts w:cstheme="minorHAnsi"/>
          <w:color w:val="222222"/>
          <w:sz w:val="20"/>
          <w:szCs w:val="20"/>
          <w:shd w:val="clear" w:color="auto" w:fill="FFFFFF"/>
        </w:rPr>
        <w:t xml:space="preserve">, F. </w:t>
      </w:r>
      <w:proofErr w:type="spellStart"/>
      <w:r w:rsidRPr="004F4CE1">
        <w:rPr>
          <w:rFonts w:cstheme="minorHAnsi"/>
          <w:color w:val="222222"/>
          <w:sz w:val="20"/>
          <w:szCs w:val="20"/>
          <w:shd w:val="clear" w:color="auto" w:fill="FFFFFF"/>
        </w:rPr>
        <w:t>Natoli</w:t>
      </w:r>
      <w:proofErr w:type="spellEnd"/>
      <w:r w:rsidRPr="004F4CE1">
        <w:rPr>
          <w:rFonts w:cstheme="minorHAnsi"/>
          <w:color w:val="222222"/>
          <w:sz w:val="20"/>
          <w:szCs w:val="20"/>
          <w:shd w:val="clear" w:color="auto" w:fill="FFFFFF"/>
        </w:rPr>
        <w:t xml:space="preserve"> &amp; D. Siena (2021). "Questioning the puzzle: fiscal policy, real exchange rate and inflation", </w:t>
      </w:r>
      <w:r w:rsidRPr="004F4CE1">
        <w:rPr>
          <w:rFonts w:cstheme="minorHAnsi"/>
          <w:i/>
          <w:iCs/>
          <w:color w:val="222222"/>
          <w:sz w:val="20"/>
          <w:szCs w:val="20"/>
          <w:shd w:val="clear" w:color="auto" w:fill="FFFFFF"/>
        </w:rPr>
        <w:t>Journal of International Economics</w:t>
      </w:r>
      <w:r w:rsidRPr="004F4CE1">
        <w:rPr>
          <w:rFonts w:cstheme="minorHAnsi"/>
          <w:color w:val="222222"/>
          <w:sz w:val="20"/>
          <w:szCs w:val="20"/>
          <w:shd w:val="clear" w:color="auto" w:fill="FFFFFF"/>
        </w:rPr>
        <w:t>, </w:t>
      </w:r>
      <w:r w:rsidRPr="004F4CE1">
        <w:rPr>
          <w:rFonts w:cstheme="minorHAnsi"/>
          <w:i/>
          <w:iCs/>
          <w:color w:val="222222"/>
          <w:sz w:val="20"/>
          <w:szCs w:val="20"/>
          <w:shd w:val="clear" w:color="auto" w:fill="FFFFFF"/>
        </w:rPr>
        <w:t>133</w:t>
      </w:r>
      <w:r w:rsidRPr="004F4CE1">
        <w:rPr>
          <w:rFonts w:cstheme="minorHAnsi"/>
          <w:color w:val="222222"/>
          <w:sz w:val="20"/>
          <w:szCs w:val="20"/>
          <w:shd w:val="clear" w:color="auto" w:fill="FFFFFF"/>
        </w:rPr>
        <w:t>, 103524.</w:t>
      </w:r>
      <w:r w:rsidRPr="004F4CE1">
        <w:rPr>
          <w:rFonts w:cstheme="minorHAnsi"/>
          <w:color w:val="222222"/>
          <w:sz w:val="20"/>
          <w:szCs w:val="20"/>
          <w:shd w:val="clear" w:color="auto" w:fill="FFFFFF"/>
          <w:rtl/>
        </w:rPr>
        <w:t>‏</w:t>
      </w:r>
    </w:p>
    <w:p w:rsidR="00422F40" w:rsidRPr="004F4CE1" w:rsidRDefault="00422F40" w:rsidP="00422F40">
      <w:pPr>
        <w:tabs>
          <w:tab w:val="left" w:pos="7200"/>
        </w:tabs>
        <w:bidi w:val="0"/>
        <w:spacing w:line="240" w:lineRule="auto"/>
        <w:jc w:val="both"/>
        <w:rPr>
          <w:rFonts w:cstheme="minorHAnsi"/>
          <w:b/>
          <w:bCs/>
          <w:sz w:val="24"/>
          <w:szCs w:val="24"/>
        </w:rPr>
      </w:pPr>
      <w:r w:rsidRPr="004F4CE1">
        <w:rPr>
          <w:rFonts w:cstheme="minorHAnsi"/>
          <w:color w:val="222222"/>
          <w:sz w:val="20"/>
          <w:szCs w:val="20"/>
          <w:shd w:val="clear" w:color="auto" w:fill="FFFFFF"/>
        </w:rPr>
        <w:lastRenderedPageBreak/>
        <w:t xml:space="preserve">Gomez Cram, R., Kung, H., &amp; </w:t>
      </w:r>
      <w:proofErr w:type="spellStart"/>
      <w:r w:rsidRPr="004F4CE1">
        <w:rPr>
          <w:rFonts w:cstheme="minorHAnsi"/>
          <w:color w:val="222222"/>
          <w:sz w:val="20"/>
          <w:szCs w:val="20"/>
          <w:shd w:val="clear" w:color="auto" w:fill="FFFFFF"/>
        </w:rPr>
        <w:t>Lustig</w:t>
      </w:r>
      <w:proofErr w:type="spellEnd"/>
      <w:r w:rsidRPr="004F4CE1">
        <w:rPr>
          <w:rFonts w:cstheme="minorHAnsi"/>
          <w:color w:val="222222"/>
          <w:sz w:val="20"/>
          <w:szCs w:val="20"/>
          <w:shd w:val="clear" w:color="auto" w:fill="FFFFFF"/>
        </w:rPr>
        <w:t>, H. N. (2023). Can US treasury markets add and subtract</w:t>
      </w:r>
      <w:proofErr w:type="gramStart"/>
      <w:r w:rsidRPr="004F4CE1">
        <w:rPr>
          <w:rFonts w:cstheme="minorHAnsi"/>
          <w:color w:val="222222"/>
          <w:sz w:val="20"/>
          <w:szCs w:val="20"/>
          <w:shd w:val="clear" w:color="auto" w:fill="FFFFFF"/>
        </w:rPr>
        <w:t>?.</w:t>
      </w:r>
      <w:proofErr w:type="gramEnd"/>
      <w:r w:rsidRPr="004F4CE1">
        <w:rPr>
          <w:rFonts w:cstheme="minorHAnsi"/>
          <w:color w:val="222222"/>
          <w:sz w:val="20"/>
          <w:szCs w:val="20"/>
          <w:shd w:val="clear" w:color="auto" w:fill="FFFFFF"/>
          <w:rtl/>
        </w:rPr>
        <w:t>‏</w:t>
      </w:r>
    </w:p>
    <w:p w:rsidR="00422F40" w:rsidRPr="004F4CE1" w:rsidRDefault="00422F40" w:rsidP="00422F40">
      <w:pPr>
        <w:tabs>
          <w:tab w:val="left" w:pos="7200"/>
        </w:tabs>
        <w:bidi w:val="0"/>
        <w:spacing w:line="240" w:lineRule="auto"/>
        <w:jc w:val="both"/>
        <w:rPr>
          <w:rFonts w:cstheme="minorHAnsi"/>
          <w:b/>
          <w:bCs/>
          <w:sz w:val="24"/>
          <w:szCs w:val="24"/>
          <w:rtl/>
        </w:rPr>
      </w:pPr>
      <w:proofErr w:type="spellStart"/>
      <w:r w:rsidRPr="004F4CE1">
        <w:rPr>
          <w:rFonts w:cstheme="minorHAnsi"/>
          <w:color w:val="222222"/>
          <w:sz w:val="20"/>
          <w:szCs w:val="20"/>
          <w:shd w:val="clear" w:color="auto" w:fill="FFFFFF"/>
        </w:rPr>
        <w:t>Grigoli</w:t>
      </w:r>
      <w:proofErr w:type="spellEnd"/>
      <w:r w:rsidRPr="004F4CE1">
        <w:rPr>
          <w:rFonts w:cstheme="minorHAnsi"/>
          <w:color w:val="222222"/>
          <w:sz w:val="20"/>
          <w:szCs w:val="20"/>
          <w:shd w:val="clear" w:color="auto" w:fill="FFFFFF"/>
        </w:rPr>
        <w:t>, F., &amp; Sandri, D. (2024). "Public debt and household inflation expectations", </w:t>
      </w:r>
      <w:r w:rsidRPr="004F4CE1">
        <w:rPr>
          <w:rFonts w:cstheme="minorHAnsi"/>
          <w:i/>
          <w:iCs/>
          <w:color w:val="222222"/>
          <w:sz w:val="20"/>
          <w:szCs w:val="20"/>
          <w:shd w:val="clear" w:color="auto" w:fill="FFFFFF"/>
        </w:rPr>
        <w:t>Journal of International Economics</w:t>
      </w:r>
      <w:r w:rsidRPr="004F4CE1">
        <w:rPr>
          <w:rFonts w:cstheme="minorHAnsi"/>
          <w:color w:val="222222"/>
          <w:sz w:val="20"/>
          <w:szCs w:val="20"/>
          <w:shd w:val="clear" w:color="auto" w:fill="FFFFFF"/>
        </w:rPr>
        <w:t>, </w:t>
      </w:r>
      <w:r w:rsidRPr="004F4CE1">
        <w:rPr>
          <w:rFonts w:cstheme="minorHAnsi"/>
          <w:i/>
          <w:iCs/>
          <w:color w:val="222222"/>
          <w:sz w:val="20"/>
          <w:szCs w:val="20"/>
          <w:shd w:val="clear" w:color="auto" w:fill="FFFFFF"/>
        </w:rPr>
        <w:t>152</w:t>
      </w:r>
      <w:r w:rsidRPr="004F4CE1">
        <w:rPr>
          <w:rFonts w:cstheme="minorHAnsi"/>
          <w:color w:val="222222"/>
          <w:sz w:val="20"/>
          <w:szCs w:val="20"/>
          <w:shd w:val="clear" w:color="auto" w:fill="FFFFFF"/>
        </w:rPr>
        <w:t>, 104003.</w:t>
      </w:r>
      <w:r w:rsidRPr="004F4CE1">
        <w:rPr>
          <w:rFonts w:cstheme="minorHAnsi"/>
          <w:color w:val="222222"/>
          <w:sz w:val="20"/>
          <w:szCs w:val="20"/>
          <w:shd w:val="clear" w:color="auto" w:fill="FFFFFF"/>
          <w:rtl/>
        </w:rPr>
        <w:t>‏</w:t>
      </w:r>
    </w:p>
    <w:p w:rsidR="00422F40" w:rsidRPr="004F4CE1" w:rsidRDefault="00422F40" w:rsidP="00422F40">
      <w:pPr>
        <w:tabs>
          <w:tab w:val="left" w:pos="7200"/>
        </w:tabs>
        <w:bidi w:val="0"/>
        <w:spacing w:line="240" w:lineRule="auto"/>
        <w:jc w:val="both"/>
        <w:rPr>
          <w:rFonts w:cstheme="minorHAnsi"/>
          <w:b/>
          <w:bCs/>
          <w:sz w:val="24"/>
          <w:szCs w:val="24"/>
        </w:rPr>
      </w:pPr>
      <w:r w:rsidRPr="004F4CE1">
        <w:rPr>
          <w:rFonts w:cstheme="minorHAnsi"/>
          <w:color w:val="222222"/>
          <w:sz w:val="20"/>
          <w:szCs w:val="20"/>
          <w:shd w:val="clear" w:color="auto" w:fill="FFFFFF"/>
        </w:rPr>
        <w:t xml:space="preserve">Hazell, J., &amp; </w:t>
      </w:r>
      <w:proofErr w:type="spellStart"/>
      <w:r w:rsidRPr="004F4CE1">
        <w:rPr>
          <w:rFonts w:cstheme="minorHAnsi"/>
          <w:color w:val="222222"/>
          <w:sz w:val="20"/>
          <w:szCs w:val="20"/>
          <w:shd w:val="clear" w:color="auto" w:fill="FFFFFF"/>
        </w:rPr>
        <w:t>Hobler</w:t>
      </w:r>
      <w:proofErr w:type="spellEnd"/>
      <w:r w:rsidRPr="004F4CE1">
        <w:rPr>
          <w:rFonts w:cstheme="minorHAnsi"/>
          <w:color w:val="222222"/>
          <w:sz w:val="20"/>
          <w:szCs w:val="20"/>
          <w:shd w:val="clear" w:color="auto" w:fill="FFFFFF"/>
        </w:rPr>
        <w:t>, S. (2024). </w:t>
      </w:r>
      <w:proofErr w:type="gramStart"/>
      <w:r w:rsidRPr="004F4CE1">
        <w:rPr>
          <w:rFonts w:cstheme="minorHAnsi"/>
          <w:color w:val="222222"/>
          <w:sz w:val="20"/>
          <w:szCs w:val="20"/>
          <w:shd w:val="clear" w:color="auto" w:fill="FFFFFF"/>
        </w:rPr>
        <w:t>Do Deficits Cause Inflation?</w:t>
      </w:r>
      <w:proofErr w:type="gramEnd"/>
      <w:r w:rsidRPr="004F4CE1">
        <w:rPr>
          <w:rFonts w:cstheme="minorHAnsi"/>
          <w:color w:val="222222"/>
          <w:sz w:val="20"/>
          <w:szCs w:val="20"/>
          <w:shd w:val="clear" w:color="auto" w:fill="FFFFFF"/>
        </w:rPr>
        <w:t xml:space="preserve"> A High Frequency Narrative Approach (No. DP2024-39).  Centre </w:t>
      </w:r>
      <w:proofErr w:type="gramStart"/>
      <w:r w:rsidRPr="004F4CE1">
        <w:rPr>
          <w:rFonts w:cstheme="minorHAnsi"/>
          <w:color w:val="222222"/>
          <w:sz w:val="20"/>
          <w:szCs w:val="20"/>
          <w:shd w:val="clear" w:color="auto" w:fill="FFFFFF"/>
        </w:rPr>
        <w:t>For</w:t>
      </w:r>
      <w:proofErr w:type="gramEnd"/>
      <w:r w:rsidRPr="004F4CE1">
        <w:rPr>
          <w:rFonts w:cstheme="minorHAnsi"/>
          <w:color w:val="222222"/>
          <w:sz w:val="20"/>
          <w:szCs w:val="20"/>
          <w:shd w:val="clear" w:color="auto" w:fill="FFFFFF"/>
        </w:rPr>
        <w:t xml:space="preserve"> Macroeconomics.</w:t>
      </w:r>
      <w:r w:rsidRPr="004F4CE1">
        <w:rPr>
          <w:rFonts w:cstheme="minorHAnsi"/>
          <w:color w:val="222222"/>
          <w:sz w:val="20"/>
          <w:szCs w:val="20"/>
          <w:shd w:val="clear" w:color="auto" w:fill="FFFFFF"/>
          <w:rtl/>
        </w:rPr>
        <w:t>‏</w:t>
      </w:r>
      <w:r w:rsidRPr="004F4CE1">
        <w:rPr>
          <w:rFonts w:cstheme="minorHAnsi"/>
          <w:b/>
          <w:bCs/>
          <w:sz w:val="24"/>
          <w:szCs w:val="24"/>
        </w:rPr>
        <w:t xml:space="preserve"> </w:t>
      </w:r>
    </w:p>
    <w:p w:rsidR="00422F40" w:rsidRDefault="00422F40" w:rsidP="00422F40">
      <w:pPr>
        <w:tabs>
          <w:tab w:val="left" w:pos="7200"/>
        </w:tabs>
        <w:bidi w:val="0"/>
        <w:spacing w:line="240" w:lineRule="auto"/>
        <w:jc w:val="both"/>
        <w:rPr>
          <w:rFonts w:cstheme="minorHAnsi"/>
          <w:b/>
          <w:bCs/>
          <w:sz w:val="24"/>
          <w:szCs w:val="24"/>
        </w:rPr>
      </w:pPr>
      <w:proofErr w:type="spellStart"/>
      <w:r w:rsidRPr="004F4CE1">
        <w:rPr>
          <w:rFonts w:cstheme="minorHAnsi"/>
          <w:color w:val="222222"/>
          <w:sz w:val="20"/>
          <w:szCs w:val="20"/>
          <w:shd w:val="clear" w:color="auto" w:fill="FFFFFF"/>
        </w:rPr>
        <w:t>Jørgensen</w:t>
      </w:r>
      <w:proofErr w:type="spellEnd"/>
      <w:r w:rsidRPr="004F4CE1">
        <w:rPr>
          <w:rFonts w:cstheme="minorHAnsi"/>
          <w:color w:val="222222"/>
          <w:sz w:val="20"/>
          <w:szCs w:val="20"/>
          <w:shd w:val="clear" w:color="auto" w:fill="FFFFFF"/>
        </w:rPr>
        <w:t xml:space="preserve">, P. L., &amp; S. H. </w:t>
      </w:r>
      <w:proofErr w:type="spellStart"/>
      <w:r w:rsidRPr="004F4CE1">
        <w:rPr>
          <w:rFonts w:cstheme="minorHAnsi"/>
          <w:color w:val="222222"/>
          <w:sz w:val="20"/>
          <w:szCs w:val="20"/>
          <w:shd w:val="clear" w:color="auto" w:fill="FFFFFF"/>
        </w:rPr>
        <w:t>Ravn</w:t>
      </w:r>
      <w:proofErr w:type="spellEnd"/>
      <w:r w:rsidRPr="004F4CE1">
        <w:rPr>
          <w:rFonts w:cstheme="minorHAnsi"/>
          <w:color w:val="222222"/>
          <w:sz w:val="20"/>
          <w:szCs w:val="20"/>
          <w:shd w:val="clear" w:color="auto" w:fill="FFFFFF"/>
        </w:rPr>
        <w:t xml:space="preserve"> (2022). "The inflation response to government spending shocks: A fiscal price puzzle?</w:t>
      </w:r>
      <w:proofErr w:type="gramStart"/>
      <w:r w:rsidRPr="004F4CE1">
        <w:rPr>
          <w:rFonts w:cstheme="minorHAnsi"/>
          <w:color w:val="222222"/>
          <w:sz w:val="20"/>
          <w:szCs w:val="20"/>
          <w:shd w:val="clear" w:color="auto" w:fill="FFFFFF"/>
        </w:rPr>
        <w:t>",</w:t>
      </w:r>
      <w:proofErr w:type="gramEnd"/>
      <w:r w:rsidRPr="004F4CE1">
        <w:rPr>
          <w:rFonts w:cstheme="minorHAnsi"/>
          <w:color w:val="222222"/>
          <w:sz w:val="20"/>
          <w:szCs w:val="20"/>
          <w:shd w:val="clear" w:color="auto" w:fill="FFFFFF"/>
        </w:rPr>
        <w:t> </w:t>
      </w:r>
      <w:r w:rsidRPr="004F4CE1">
        <w:rPr>
          <w:rFonts w:cstheme="minorHAnsi"/>
          <w:i/>
          <w:iCs/>
          <w:color w:val="222222"/>
          <w:sz w:val="20"/>
          <w:szCs w:val="20"/>
          <w:shd w:val="clear" w:color="auto" w:fill="FFFFFF"/>
        </w:rPr>
        <w:t>European Economic Review</w:t>
      </w:r>
      <w:r w:rsidRPr="004F4CE1">
        <w:rPr>
          <w:rFonts w:cstheme="minorHAnsi"/>
          <w:color w:val="222222"/>
          <w:sz w:val="20"/>
          <w:szCs w:val="20"/>
          <w:shd w:val="clear" w:color="auto" w:fill="FFFFFF"/>
        </w:rPr>
        <w:t>, </w:t>
      </w:r>
      <w:r w:rsidRPr="004F4CE1">
        <w:rPr>
          <w:rFonts w:cstheme="minorHAnsi"/>
          <w:i/>
          <w:iCs/>
          <w:color w:val="222222"/>
          <w:sz w:val="20"/>
          <w:szCs w:val="20"/>
          <w:shd w:val="clear" w:color="auto" w:fill="FFFFFF"/>
        </w:rPr>
        <w:t>141</w:t>
      </w:r>
      <w:r w:rsidRPr="004F4CE1">
        <w:rPr>
          <w:rFonts w:cstheme="minorHAnsi"/>
          <w:color w:val="222222"/>
          <w:sz w:val="20"/>
          <w:szCs w:val="20"/>
          <w:shd w:val="clear" w:color="auto" w:fill="FFFFFF"/>
        </w:rPr>
        <w:t>, 103982.</w:t>
      </w:r>
      <w:r w:rsidRPr="004F4CE1">
        <w:rPr>
          <w:rFonts w:cstheme="minorHAnsi"/>
          <w:color w:val="222222"/>
          <w:sz w:val="20"/>
          <w:szCs w:val="20"/>
          <w:shd w:val="clear" w:color="auto" w:fill="FFFFFF"/>
          <w:rtl/>
        </w:rPr>
        <w:t>‏</w:t>
      </w:r>
    </w:p>
    <w:p w:rsidR="00422F40" w:rsidRDefault="00422F40" w:rsidP="00422F40">
      <w:pPr>
        <w:tabs>
          <w:tab w:val="left" w:pos="7200"/>
        </w:tabs>
        <w:bidi w:val="0"/>
        <w:spacing w:line="240" w:lineRule="auto"/>
        <w:jc w:val="both"/>
        <w:rPr>
          <w:rFonts w:cs="Calibri"/>
          <w:sz w:val="24"/>
          <w:szCs w:val="24"/>
        </w:rPr>
      </w:pPr>
      <w:r w:rsidRPr="00321817">
        <w:rPr>
          <w:rFonts w:cstheme="minorHAnsi"/>
          <w:color w:val="222222"/>
          <w:sz w:val="20"/>
          <w:szCs w:val="20"/>
          <w:shd w:val="clear" w:color="auto" w:fill="FFFFFF"/>
        </w:rPr>
        <w:t xml:space="preserve">Lucas Jr, R. E. (1972). </w:t>
      </w:r>
      <w:r>
        <w:rPr>
          <w:rFonts w:cstheme="minorHAnsi"/>
          <w:color w:val="222222"/>
          <w:sz w:val="20"/>
          <w:szCs w:val="20"/>
          <w:shd w:val="clear" w:color="auto" w:fill="FFFFFF"/>
        </w:rPr>
        <w:t>"</w:t>
      </w:r>
      <w:r w:rsidRPr="00321817">
        <w:rPr>
          <w:rFonts w:cstheme="minorHAnsi"/>
          <w:color w:val="222222"/>
          <w:sz w:val="20"/>
          <w:szCs w:val="20"/>
          <w:shd w:val="clear" w:color="auto" w:fill="FFFFFF"/>
        </w:rPr>
        <w:t>Expectations and the Neutrality of Money</w:t>
      </w:r>
      <w:r>
        <w:rPr>
          <w:rFonts w:cstheme="minorHAnsi"/>
          <w:color w:val="222222"/>
          <w:sz w:val="20"/>
          <w:szCs w:val="20"/>
          <w:shd w:val="clear" w:color="auto" w:fill="FFFFFF"/>
        </w:rPr>
        <w:t>"</w:t>
      </w:r>
      <w:r w:rsidRPr="00321817">
        <w:rPr>
          <w:rFonts w:cstheme="minorHAnsi"/>
          <w:color w:val="222222"/>
          <w:sz w:val="20"/>
          <w:szCs w:val="20"/>
          <w:shd w:val="clear" w:color="auto" w:fill="FFFFFF"/>
        </w:rPr>
        <w:t xml:space="preserve">. </w:t>
      </w:r>
      <w:r w:rsidRPr="00321817">
        <w:rPr>
          <w:rFonts w:cstheme="minorHAnsi"/>
          <w:i/>
          <w:iCs/>
          <w:color w:val="222222"/>
          <w:sz w:val="20"/>
          <w:szCs w:val="20"/>
          <w:shd w:val="clear" w:color="auto" w:fill="FFFFFF"/>
        </w:rPr>
        <w:t>Journal of economic theory</w:t>
      </w:r>
      <w:r w:rsidRPr="00321817">
        <w:rPr>
          <w:rFonts w:cstheme="minorHAnsi"/>
          <w:color w:val="222222"/>
          <w:sz w:val="20"/>
          <w:szCs w:val="20"/>
          <w:shd w:val="clear" w:color="auto" w:fill="FFFFFF"/>
        </w:rPr>
        <w:t>, 4(2), 103-124.</w:t>
      </w:r>
      <w:r w:rsidRPr="00321817">
        <w:rPr>
          <w:rFonts w:cstheme="minorHAnsi"/>
          <w:color w:val="222222"/>
          <w:sz w:val="20"/>
          <w:szCs w:val="20"/>
          <w:shd w:val="clear" w:color="auto" w:fill="FFFFFF"/>
          <w:rtl/>
        </w:rPr>
        <w:t>‏</w:t>
      </w:r>
    </w:p>
    <w:tbl>
      <w:tblPr>
        <w:tblStyle w:val="af3"/>
        <w:bidiVisual/>
        <w:tblW w:w="81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8"/>
      </w:tblGrid>
      <w:tr w:rsidR="00422F40" w:rsidTr="00457958">
        <w:trPr>
          <w:trHeight w:val="4139"/>
          <w:jc w:val="center"/>
        </w:trPr>
        <w:tc>
          <w:tcPr>
            <w:tcW w:w="8198" w:type="dxa"/>
          </w:tcPr>
          <w:p w:rsidR="00422F40" w:rsidRDefault="00422F40" w:rsidP="00457958">
            <w:pPr>
              <w:tabs>
                <w:tab w:val="left" w:pos="1061"/>
              </w:tabs>
              <w:spacing w:line="360" w:lineRule="auto"/>
              <w:jc w:val="center"/>
              <w:rPr>
                <w:rFonts w:cs="Calibri"/>
                <w:sz w:val="24"/>
                <w:szCs w:val="24"/>
                <w:rtl/>
              </w:rPr>
            </w:pPr>
            <w:r>
              <w:rPr>
                <w:rFonts w:cs="Calibri"/>
                <w:noProof/>
                <w:sz w:val="24"/>
                <w:szCs w:val="24"/>
                <w:rtl/>
              </w:rPr>
              <w:drawing>
                <wp:inline distT="0" distB="0" distL="0" distR="0" wp14:anchorId="13138760" wp14:editId="6F3D27DE">
                  <wp:extent cx="4959289" cy="3059987"/>
                  <wp:effectExtent l="0" t="0" r="0" b="762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easeday forecast_g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9289" cy="3059987"/>
                          </a:xfrm>
                          <a:prstGeom prst="rect">
                            <a:avLst/>
                          </a:prstGeom>
                        </pic:spPr>
                      </pic:pic>
                    </a:graphicData>
                  </a:graphic>
                </wp:inline>
              </w:drawing>
            </w:r>
          </w:p>
        </w:tc>
      </w:tr>
      <w:tr w:rsidR="00422F40" w:rsidTr="00457958">
        <w:trPr>
          <w:trHeight w:val="4649"/>
          <w:jc w:val="center"/>
        </w:trPr>
        <w:tc>
          <w:tcPr>
            <w:tcW w:w="8198" w:type="dxa"/>
          </w:tcPr>
          <w:p w:rsidR="00422F40" w:rsidRDefault="00422F40" w:rsidP="00457958">
            <w:pPr>
              <w:tabs>
                <w:tab w:val="left" w:pos="1061"/>
              </w:tabs>
              <w:spacing w:line="360" w:lineRule="auto"/>
              <w:jc w:val="center"/>
              <w:rPr>
                <w:rFonts w:cs="Calibri"/>
                <w:sz w:val="24"/>
                <w:szCs w:val="24"/>
                <w:rtl/>
              </w:rPr>
            </w:pPr>
            <w:r>
              <w:rPr>
                <w:rFonts w:cs="Calibri"/>
                <w:noProof/>
                <w:sz w:val="24"/>
                <w:szCs w:val="24"/>
                <w:rtl/>
              </w:rPr>
              <w:drawing>
                <wp:inline distT="0" distB="0" distL="0" distR="0" wp14:anchorId="182F601E" wp14:editId="6C872B19">
                  <wp:extent cx="4959290" cy="3059987"/>
                  <wp:effectExtent l="0" t="0" r="0" b="762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easeday forecast_gap sign matter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9290" cy="3059987"/>
                          </a:xfrm>
                          <a:prstGeom prst="rect">
                            <a:avLst/>
                          </a:prstGeom>
                        </pic:spPr>
                      </pic:pic>
                    </a:graphicData>
                  </a:graphic>
                </wp:inline>
              </w:drawing>
            </w:r>
          </w:p>
        </w:tc>
      </w:tr>
      <w:tr w:rsidR="00422F40" w:rsidTr="00457958">
        <w:trPr>
          <w:trHeight w:val="964"/>
          <w:jc w:val="center"/>
        </w:trPr>
        <w:tc>
          <w:tcPr>
            <w:tcW w:w="8198" w:type="dxa"/>
          </w:tcPr>
          <w:p w:rsidR="00422F40" w:rsidRDefault="00422F40" w:rsidP="00457958">
            <w:pPr>
              <w:tabs>
                <w:tab w:val="left" w:pos="1061"/>
              </w:tabs>
              <w:jc w:val="both"/>
              <w:rPr>
                <w:rFonts w:cs="Calibri"/>
                <w:b/>
                <w:bCs/>
                <w:sz w:val="20"/>
                <w:szCs w:val="20"/>
                <w:rtl/>
              </w:rPr>
            </w:pPr>
            <w:r w:rsidRPr="00093D4B">
              <w:rPr>
                <w:rFonts w:cs="Calibri" w:hint="cs"/>
                <w:b/>
                <w:bCs/>
                <w:sz w:val="20"/>
                <w:szCs w:val="20"/>
                <w:rtl/>
              </w:rPr>
              <w:lastRenderedPageBreak/>
              <w:t>הער</w:t>
            </w:r>
            <w:r>
              <w:rPr>
                <w:rFonts w:cs="Calibri" w:hint="cs"/>
                <w:b/>
                <w:bCs/>
                <w:sz w:val="20"/>
                <w:szCs w:val="20"/>
                <w:rtl/>
              </w:rPr>
              <w:t>ות</w:t>
            </w:r>
            <w:r w:rsidRPr="00093D4B">
              <w:rPr>
                <w:rFonts w:cs="Calibri" w:hint="cs"/>
                <w:b/>
                <w:bCs/>
                <w:sz w:val="20"/>
                <w:szCs w:val="20"/>
                <w:rtl/>
              </w:rPr>
              <w:t>:</w:t>
            </w:r>
            <w:r w:rsidRPr="00093D4B">
              <w:rPr>
                <w:rFonts w:cs="Calibri" w:hint="cs"/>
                <w:sz w:val="20"/>
                <w:szCs w:val="20"/>
                <w:rtl/>
              </w:rPr>
              <w:t xml:space="preserve"> האיור</w:t>
            </w:r>
            <w:r>
              <w:rPr>
                <w:rFonts w:cs="Calibri" w:hint="cs"/>
                <w:sz w:val="20"/>
                <w:szCs w:val="20"/>
                <w:rtl/>
              </w:rPr>
              <w:t>ים</w:t>
            </w:r>
            <w:r w:rsidRPr="00093D4B">
              <w:rPr>
                <w:rFonts w:cs="Calibri" w:hint="cs"/>
                <w:sz w:val="20"/>
                <w:szCs w:val="20"/>
                <w:rtl/>
              </w:rPr>
              <w:t xml:space="preserve"> מציג</w:t>
            </w:r>
            <w:r>
              <w:rPr>
                <w:rFonts w:cs="Calibri" w:hint="cs"/>
                <w:sz w:val="20"/>
                <w:szCs w:val="20"/>
                <w:rtl/>
              </w:rPr>
              <w:t>ים</w:t>
            </w:r>
            <w:r w:rsidRPr="00093D4B">
              <w:rPr>
                <w:rFonts w:cs="Calibri" w:hint="cs"/>
                <w:sz w:val="20"/>
                <w:szCs w:val="20"/>
                <w:rtl/>
              </w:rPr>
              <w:t xml:space="preserve"> את התגובה המצטברת של הציפיות לאינפלציה (ציר ה-</w:t>
            </w:r>
            <w:r w:rsidRPr="00093D4B">
              <w:rPr>
                <w:rFonts w:cs="Calibri" w:hint="cs"/>
                <w:sz w:val="20"/>
                <w:szCs w:val="20"/>
              </w:rPr>
              <w:t>Y</w:t>
            </w:r>
            <w:r w:rsidRPr="00093D4B">
              <w:rPr>
                <w:rFonts w:cs="Calibri" w:hint="cs"/>
                <w:sz w:val="20"/>
                <w:szCs w:val="20"/>
                <w:rtl/>
              </w:rPr>
              <w:t>) בימים שלאחר פרסום הג</w:t>
            </w:r>
            <w:r>
              <w:rPr>
                <w:rFonts w:cs="Calibri" w:hint="cs"/>
                <w:sz w:val="20"/>
                <w:szCs w:val="20"/>
                <w:rtl/>
              </w:rPr>
              <w:t>י</w:t>
            </w:r>
            <w:r w:rsidRPr="00093D4B">
              <w:rPr>
                <w:rFonts w:cs="Calibri" w:hint="cs"/>
                <w:sz w:val="20"/>
                <w:szCs w:val="20"/>
                <w:rtl/>
              </w:rPr>
              <w:t>רעון (ציר ה-</w:t>
            </w:r>
            <w:r w:rsidRPr="00093D4B">
              <w:rPr>
                <w:rFonts w:cs="Calibri" w:hint="cs"/>
                <w:sz w:val="20"/>
                <w:szCs w:val="20"/>
              </w:rPr>
              <w:t>X</w:t>
            </w:r>
            <w:r w:rsidRPr="00093D4B">
              <w:rPr>
                <w:rFonts w:cs="Calibri" w:hint="cs"/>
                <w:sz w:val="20"/>
                <w:szCs w:val="20"/>
                <w:rtl/>
              </w:rPr>
              <w:t>)</w:t>
            </w:r>
            <w:r>
              <w:rPr>
                <w:rFonts w:cs="Calibri" w:hint="cs"/>
                <w:sz w:val="20"/>
                <w:szCs w:val="20"/>
                <w:rtl/>
              </w:rPr>
              <w:t>. איור 3 מבחין בין הפתעות חיוביות והפתעות שליליות</w:t>
            </w:r>
            <w:r w:rsidRPr="00093D4B">
              <w:rPr>
                <w:rFonts w:cs="Calibri" w:hint="cs"/>
                <w:sz w:val="20"/>
                <w:szCs w:val="20"/>
                <w:rtl/>
              </w:rPr>
              <w:t xml:space="preserve">. </w:t>
            </w:r>
            <w:r w:rsidRPr="00484697">
              <w:rPr>
                <w:rFonts w:cs="Calibri"/>
                <w:sz w:val="20"/>
                <w:szCs w:val="20"/>
                <w:rtl/>
              </w:rPr>
              <w:t>השטח</w:t>
            </w:r>
            <w:r>
              <w:rPr>
                <w:rFonts w:cs="Calibri" w:hint="cs"/>
                <w:sz w:val="20"/>
                <w:szCs w:val="20"/>
                <w:rtl/>
              </w:rPr>
              <w:t>ים</w:t>
            </w:r>
            <w:r w:rsidRPr="00484697">
              <w:rPr>
                <w:rFonts w:cs="Calibri"/>
                <w:sz w:val="20"/>
                <w:szCs w:val="20"/>
                <w:rtl/>
              </w:rPr>
              <w:t xml:space="preserve"> המוצלל</w:t>
            </w:r>
            <w:r>
              <w:rPr>
                <w:rFonts w:cs="Calibri" w:hint="cs"/>
                <w:sz w:val="20"/>
                <w:szCs w:val="20"/>
                <w:rtl/>
              </w:rPr>
              <w:t>ים</w:t>
            </w:r>
            <w:r w:rsidRPr="00484697">
              <w:rPr>
                <w:rFonts w:cs="Calibri"/>
                <w:sz w:val="20"/>
                <w:szCs w:val="20"/>
                <w:rtl/>
              </w:rPr>
              <w:t xml:space="preserve"> הכהה והבהיר מייצג</w:t>
            </w:r>
            <w:r>
              <w:rPr>
                <w:rFonts w:cs="Calibri" w:hint="cs"/>
                <w:sz w:val="20"/>
                <w:szCs w:val="20"/>
                <w:rtl/>
              </w:rPr>
              <w:t>ים</w:t>
            </w:r>
            <w:r w:rsidRPr="00484697">
              <w:rPr>
                <w:rFonts w:cs="Calibri"/>
                <w:sz w:val="20"/>
                <w:szCs w:val="20"/>
                <w:rtl/>
              </w:rPr>
              <w:t xml:space="preserve"> רווח סמך של 68% ו-95%, בהתאמה. סטיות התקן מתוקנות </w:t>
            </w:r>
            <w:r w:rsidRPr="008E40BF">
              <w:rPr>
                <w:rFonts w:cs="Calibri" w:hint="eastAsia"/>
                <w:sz w:val="20"/>
                <w:szCs w:val="20"/>
                <w:rtl/>
              </w:rPr>
              <w:t>בגין</w:t>
            </w:r>
            <w:r>
              <w:rPr>
                <w:rFonts w:cs="Calibri" w:hint="cs"/>
                <w:sz w:val="20"/>
                <w:szCs w:val="20"/>
                <w:rtl/>
              </w:rPr>
              <w:t xml:space="preserve"> </w:t>
            </w:r>
            <w:r w:rsidRPr="00484697">
              <w:rPr>
                <w:rFonts w:cs="Calibri"/>
                <w:sz w:val="20"/>
                <w:szCs w:val="20"/>
                <w:rtl/>
              </w:rPr>
              <w:t>מתאם סדרתי (</w:t>
            </w:r>
            <w:r w:rsidRPr="00484697">
              <w:rPr>
                <w:rFonts w:cs="Calibri"/>
                <w:sz w:val="20"/>
                <w:szCs w:val="20"/>
              </w:rPr>
              <w:t>Newey-West</w:t>
            </w:r>
            <w:r w:rsidRPr="00484697">
              <w:rPr>
                <w:rFonts w:cs="Calibri"/>
                <w:sz w:val="20"/>
                <w:szCs w:val="20"/>
                <w:rtl/>
              </w:rPr>
              <w:t xml:space="preserve">). </w:t>
            </w:r>
            <w:r>
              <w:rPr>
                <w:rFonts w:cs="Calibri" w:hint="cs"/>
                <w:sz w:val="20"/>
                <w:szCs w:val="20"/>
                <w:rtl/>
              </w:rPr>
              <w:t>האומדן</w:t>
            </w:r>
            <w:r>
              <w:rPr>
                <w:rFonts w:cs="Calibri"/>
                <w:sz w:val="20"/>
                <w:szCs w:val="20"/>
                <w:rtl/>
              </w:rPr>
              <w:t xml:space="preserve"> מתבסס</w:t>
            </w:r>
            <w:r w:rsidRPr="00484697">
              <w:rPr>
                <w:rFonts w:cs="Calibri"/>
                <w:sz w:val="20"/>
                <w:szCs w:val="20"/>
                <w:rtl/>
              </w:rPr>
              <w:t xml:space="preserve"> על נתונים יומיים בין ינואר 2015 </w:t>
            </w:r>
            <w:r>
              <w:rPr>
                <w:rFonts w:cs="Calibri" w:hint="cs"/>
                <w:sz w:val="20"/>
                <w:szCs w:val="20"/>
                <w:rtl/>
              </w:rPr>
              <w:t xml:space="preserve">לינואר 2025. </w:t>
            </w:r>
            <w:r>
              <w:rPr>
                <w:rFonts w:cs="Calibri" w:hint="cs"/>
                <w:b/>
                <w:bCs/>
                <w:sz w:val="20"/>
                <w:szCs w:val="20"/>
                <w:rtl/>
              </w:rPr>
              <w:t xml:space="preserve"> </w:t>
            </w:r>
          </w:p>
          <w:p w:rsidR="00422F40" w:rsidRPr="00093D4B" w:rsidRDefault="00422F40" w:rsidP="00457958">
            <w:pPr>
              <w:tabs>
                <w:tab w:val="left" w:pos="1061"/>
              </w:tabs>
              <w:jc w:val="both"/>
              <w:rPr>
                <w:rFonts w:cs="Calibri"/>
                <w:sz w:val="20"/>
                <w:szCs w:val="20"/>
                <w:rtl/>
              </w:rPr>
            </w:pPr>
            <w:r>
              <w:rPr>
                <w:rFonts w:cs="Calibri" w:hint="cs"/>
                <w:b/>
                <w:bCs/>
                <w:sz w:val="20"/>
                <w:szCs w:val="20"/>
                <w:rtl/>
              </w:rPr>
              <w:t xml:space="preserve">המקור: </w:t>
            </w:r>
            <w:r>
              <w:rPr>
                <w:rFonts w:cs="Calibri" w:hint="cs"/>
                <w:sz w:val="20"/>
                <w:szCs w:val="20"/>
                <w:rtl/>
              </w:rPr>
              <w:t>עיבודי בנק ישראל.</w:t>
            </w:r>
          </w:p>
        </w:tc>
      </w:tr>
    </w:tbl>
    <w:p w:rsidR="00422F40" w:rsidRPr="00E709A2" w:rsidRDefault="00422F40" w:rsidP="00422F40">
      <w:pPr>
        <w:tabs>
          <w:tab w:val="left" w:pos="7200"/>
        </w:tabs>
        <w:spacing w:line="360" w:lineRule="auto"/>
        <w:rPr>
          <w:rFonts w:cstheme="minorHAnsi"/>
          <w:b/>
          <w:bCs/>
          <w:sz w:val="2"/>
          <w:szCs w:val="2"/>
        </w:rPr>
      </w:pPr>
    </w:p>
    <w:p w:rsidR="00422F40" w:rsidRDefault="00422F40" w:rsidP="00765FCC">
      <w:pPr>
        <w:tabs>
          <w:tab w:val="left" w:pos="2315"/>
        </w:tabs>
        <w:jc w:val="center"/>
        <w:rPr>
          <w:rFonts w:ascii="Calibri" w:hAnsi="Calibri" w:cs="Calibri"/>
          <w:b/>
          <w:bCs/>
          <w:sz w:val="28"/>
          <w:szCs w:val="28"/>
          <w:rtl/>
        </w:rPr>
      </w:pPr>
    </w:p>
    <w:sectPr w:rsidR="00422F40" w:rsidSect="001D340E">
      <w:footerReference w:type="first" r:id="rId12"/>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422F40" w:rsidRDefault="00422F40" w:rsidP="00422F40">
      <w:pPr>
        <w:pStyle w:val="af0"/>
        <w:jc w:val="both"/>
        <w:rPr>
          <w:rtl/>
        </w:rPr>
      </w:pPr>
      <w:r>
        <w:rPr>
          <w:rStyle w:val="af2"/>
        </w:rPr>
        <w:footnoteRef/>
      </w:r>
      <w:r>
        <w:rPr>
          <w:rtl/>
        </w:rPr>
        <w:t xml:space="preserve"> </w:t>
      </w:r>
      <w:r w:rsidRPr="008E157A">
        <w:rPr>
          <w:rFonts w:cs="Calibri"/>
        </w:rPr>
        <w:t>Cochrane (2023)</w:t>
      </w:r>
      <w:r>
        <w:rPr>
          <w:rFonts w:cs="Calibri" w:hint="cs"/>
          <w:rtl/>
        </w:rPr>
        <w:t>, מתאר, על בסיס</w:t>
      </w:r>
      <w:r w:rsidRPr="008E157A">
        <w:rPr>
          <w:rFonts w:cs="Calibri" w:hint="cs"/>
          <w:rtl/>
        </w:rPr>
        <w:t xml:space="preserve"> על התיאוריה הפיסקלית של רמת המחירים, כיצד הוצאות ממשלתיות גבוהות עשויות לה</w:t>
      </w:r>
      <w:r>
        <w:rPr>
          <w:rFonts w:cs="Calibri" w:hint="cs"/>
          <w:rtl/>
        </w:rPr>
        <w:t>ביא</w:t>
      </w:r>
      <w:r w:rsidRPr="008E157A">
        <w:rPr>
          <w:rFonts w:cs="Calibri" w:hint="cs"/>
          <w:rtl/>
        </w:rPr>
        <w:t xml:space="preserve"> לעלי</w:t>
      </w:r>
      <w:r>
        <w:rPr>
          <w:rFonts w:cs="Calibri" w:hint="cs"/>
          <w:rtl/>
        </w:rPr>
        <w:t>י</w:t>
      </w:r>
      <w:r w:rsidRPr="008E157A">
        <w:rPr>
          <w:rFonts w:cs="Calibri" w:hint="cs"/>
          <w:rtl/>
        </w:rPr>
        <w:t>ה בציפיות לאינפלציה</w:t>
      </w:r>
      <w:r>
        <w:rPr>
          <w:rFonts w:cs="Calibri" w:hint="cs"/>
          <w:rtl/>
        </w:rPr>
        <w:t>.</w:t>
      </w:r>
      <w:r w:rsidRPr="008E157A">
        <w:rPr>
          <w:rFonts w:cs="Calibri" w:hint="cs"/>
          <w:rtl/>
        </w:rPr>
        <w:t xml:space="preserve"> </w:t>
      </w:r>
      <w:r w:rsidRPr="000C3F2B">
        <w:rPr>
          <w:rFonts w:cs="Calibri"/>
          <w:rtl/>
        </w:rPr>
        <w:t xml:space="preserve">התיאוריה מדגישה את החשיבות של מדיניות פיסקלית אחראית לשמירה על יציבות המחירים, שכן חוב ממשלתי גבוה יכול להוביל ללחצים אינפלציוניים </w:t>
      </w:r>
      <w:r w:rsidRPr="008E157A">
        <w:rPr>
          <w:rFonts w:cs="Calibri" w:hint="cs"/>
          <w:rtl/>
        </w:rPr>
        <w:t xml:space="preserve">דרך תפיסת הציבור </w:t>
      </w:r>
      <w:r w:rsidRPr="00424E42">
        <w:rPr>
          <w:rFonts w:cs="Calibri" w:hint="eastAsia"/>
          <w:rtl/>
        </w:rPr>
        <w:t>כי</w:t>
      </w:r>
      <w:r w:rsidRPr="00424E42">
        <w:rPr>
          <w:rFonts w:cs="Calibri"/>
          <w:rtl/>
        </w:rPr>
        <w:t xml:space="preserve"> בעתיד </w:t>
      </w:r>
      <w:r w:rsidRPr="00424E42">
        <w:rPr>
          <w:rFonts w:cs="Calibri" w:hint="eastAsia"/>
          <w:rtl/>
        </w:rPr>
        <w:t>ערכו</w:t>
      </w:r>
      <w:r w:rsidRPr="00424E42">
        <w:rPr>
          <w:rFonts w:cs="Calibri"/>
          <w:rtl/>
        </w:rPr>
        <w:t xml:space="preserve"> </w:t>
      </w:r>
      <w:r w:rsidRPr="00424E42">
        <w:rPr>
          <w:rFonts w:cs="Calibri" w:hint="eastAsia"/>
          <w:rtl/>
        </w:rPr>
        <w:t>של</w:t>
      </w:r>
      <w:r w:rsidRPr="00424E42">
        <w:rPr>
          <w:rFonts w:cs="Calibri"/>
          <w:rtl/>
        </w:rPr>
        <w:t xml:space="preserve"> </w:t>
      </w:r>
      <w:r w:rsidRPr="00424E42">
        <w:rPr>
          <w:rFonts w:cs="Calibri" w:hint="eastAsia"/>
          <w:rtl/>
        </w:rPr>
        <w:t>החוב</w:t>
      </w:r>
      <w:r w:rsidRPr="00424E42">
        <w:rPr>
          <w:rFonts w:cs="Calibri"/>
          <w:rtl/>
        </w:rPr>
        <w:t xml:space="preserve"> </w:t>
      </w:r>
      <w:r w:rsidRPr="00424E42">
        <w:rPr>
          <w:rFonts w:cs="Calibri" w:hint="eastAsia"/>
          <w:rtl/>
        </w:rPr>
        <w:t>הריאלי</w:t>
      </w:r>
      <w:r w:rsidRPr="00424E42">
        <w:rPr>
          <w:rFonts w:cs="Calibri"/>
          <w:rtl/>
        </w:rPr>
        <w:t xml:space="preserve"> </w:t>
      </w:r>
      <w:r w:rsidRPr="00424E42">
        <w:rPr>
          <w:rFonts w:cs="Calibri" w:hint="eastAsia"/>
          <w:rtl/>
        </w:rPr>
        <w:t>יישחק</w:t>
      </w:r>
      <w:r w:rsidRPr="00424E42">
        <w:rPr>
          <w:rFonts w:cs="Calibri"/>
          <w:rtl/>
        </w:rPr>
        <w:t xml:space="preserve"> </w:t>
      </w:r>
      <w:r w:rsidRPr="00424E42">
        <w:rPr>
          <w:rFonts w:cs="Calibri" w:hint="eastAsia"/>
          <w:rtl/>
        </w:rPr>
        <w:t>באמצעות</w:t>
      </w:r>
      <w:r w:rsidRPr="00424E42">
        <w:rPr>
          <w:rFonts w:cs="Calibri"/>
          <w:rtl/>
        </w:rPr>
        <w:t xml:space="preserve"> אינפלציה </w:t>
      </w:r>
      <w:r>
        <w:rPr>
          <w:rFonts w:cs="Calibri" w:hint="cs"/>
          <w:rtl/>
        </w:rPr>
        <w:t>שמטרתה</w:t>
      </w:r>
      <w:r w:rsidRPr="00424E42">
        <w:rPr>
          <w:rFonts w:cs="Calibri"/>
          <w:rtl/>
        </w:rPr>
        <w:t xml:space="preserve"> </w:t>
      </w:r>
      <w:r w:rsidRPr="00424E42">
        <w:rPr>
          <w:rFonts w:cs="Calibri" w:hint="eastAsia"/>
          <w:rtl/>
        </w:rPr>
        <w:t>לעמוד</w:t>
      </w:r>
      <w:r w:rsidRPr="00424E42">
        <w:rPr>
          <w:rFonts w:cs="Calibri"/>
          <w:rtl/>
        </w:rPr>
        <w:t xml:space="preserve"> </w:t>
      </w:r>
      <w:r w:rsidRPr="00424E42">
        <w:rPr>
          <w:rFonts w:cs="Calibri" w:hint="eastAsia"/>
          <w:rtl/>
        </w:rPr>
        <w:t>בהתחייבויות</w:t>
      </w:r>
      <w:r w:rsidRPr="00424E42">
        <w:rPr>
          <w:rFonts w:cs="Calibri"/>
          <w:rtl/>
        </w:rPr>
        <w:t>.</w:t>
      </w:r>
      <w:r w:rsidRPr="008E157A">
        <w:rPr>
          <w:rFonts w:cs="Calibri" w:hint="cs"/>
          <w:rtl/>
        </w:rPr>
        <w:t xml:space="preserve"> </w:t>
      </w:r>
    </w:p>
  </w:footnote>
  <w:footnote w:id="2">
    <w:p w:rsidR="00422F40" w:rsidRDefault="00422F40" w:rsidP="00422F40">
      <w:pPr>
        <w:pStyle w:val="af0"/>
        <w:jc w:val="both"/>
        <w:rPr>
          <w:rtl/>
        </w:rPr>
      </w:pPr>
      <w:r>
        <w:rPr>
          <w:rStyle w:val="af2"/>
        </w:rPr>
        <w:footnoteRef/>
      </w:r>
      <w:r>
        <w:rPr>
          <w:rtl/>
        </w:rPr>
        <w:t xml:space="preserve"> </w:t>
      </w:r>
      <w:proofErr w:type="spellStart"/>
      <w:r w:rsidRPr="007C1049">
        <w:t>Jørgensen</w:t>
      </w:r>
      <w:proofErr w:type="spellEnd"/>
      <w:r w:rsidRPr="007C1049">
        <w:t xml:space="preserve"> </w:t>
      </w:r>
      <w:r w:rsidRPr="007C1049">
        <w:rPr>
          <w:rFonts w:cs="Calibri"/>
        </w:rPr>
        <w:t xml:space="preserve">&amp; </w:t>
      </w:r>
      <w:proofErr w:type="spellStart"/>
      <w:r w:rsidRPr="007C1049">
        <w:rPr>
          <w:rFonts w:cs="Calibri"/>
        </w:rPr>
        <w:t>Ravn</w:t>
      </w:r>
      <w:proofErr w:type="spellEnd"/>
      <w:r w:rsidRPr="007C1049">
        <w:rPr>
          <w:rFonts w:cs="Calibri"/>
        </w:rPr>
        <w:t xml:space="preserve"> (2022)</w:t>
      </w:r>
      <w:r w:rsidRPr="007C1049">
        <w:rPr>
          <w:rFonts w:cs="Calibri" w:hint="cs"/>
          <w:rtl/>
        </w:rPr>
        <w:t xml:space="preserve"> מתארים כיצד הרחבה פיסקלית </w:t>
      </w:r>
      <w:r>
        <w:rPr>
          <w:rFonts w:cs="Calibri" w:hint="cs"/>
          <w:rtl/>
        </w:rPr>
        <w:t>מתמרצת</w:t>
      </w:r>
      <w:r w:rsidRPr="007C1049">
        <w:rPr>
          <w:rFonts w:cs="Calibri" w:hint="cs"/>
          <w:rtl/>
        </w:rPr>
        <w:t xml:space="preserve"> אימוץ מהיר של טכנולוגיות</w:t>
      </w:r>
      <w:r>
        <w:rPr>
          <w:rFonts w:cs="Calibri" w:hint="cs"/>
          <w:rtl/>
        </w:rPr>
        <w:t xml:space="preserve">, המעלות את הפריון, </w:t>
      </w:r>
      <w:r w:rsidRPr="007C1049">
        <w:rPr>
          <w:rFonts w:cs="Calibri" w:hint="cs"/>
          <w:rtl/>
        </w:rPr>
        <w:t>ובכך</w:t>
      </w:r>
      <w:r>
        <w:rPr>
          <w:rFonts w:cs="Calibri" w:hint="cs"/>
          <w:rtl/>
        </w:rPr>
        <w:t xml:space="preserve"> פועלות </w:t>
      </w:r>
      <w:r w:rsidRPr="008E40BF">
        <w:rPr>
          <w:rFonts w:cs="Calibri" w:hint="cs"/>
          <w:rtl/>
        </w:rPr>
        <w:t xml:space="preserve">לירידת </w:t>
      </w:r>
      <w:r w:rsidRPr="008E40BF">
        <w:rPr>
          <w:rFonts w:cs="Calibri"/>
          <w:rtl/>
        </w:rPr>
        <w:t>המחירים</w:t>
      </w:r>
      <w:r w:rsidRPr="008E40BF">
        <w:rPr>
          <w:rFonts w:cs="Calibri" w:hint="cs"/>
          <w:rtl/>
        </w:rPr>
        <w:t>.</w:t>
      </w:r>
      <w:r>
        <w:rPr>
          <w:rFonts w:cs="Calibri" w:hint="cs"/>
          <w:rtl/>
        </w:rPr>
        <w:t xml:space="preserve"> </w:t>
      </w:r>
    </w:p>
  </w:footnote>
  <w:footnote w:id="3">
    <w:p w:rsidR="00422F40" w:rsidRDefault="00422F40" w:rsidP="00422F40">
      <w:pPr>
        <w:pStyle w:val="af0"/>
      </w:pPr>
      <w:r>
        <w:rPr>
          <w:rStyle w:val="af2"/>
        </w:rPr>
        <w:footnoteRef/>
      </w:r>
      <w:r>
        <w:rPr>
          <w:rtl/>
        </w:rPr>
        <w:t xml:space="preserve"> </w:t>
      </w:r>
      <w:r w:rsidRPr="00B75175">
        <w:rPr>
          <w:rFonts w:cs="Calibri"/>
          <w:rtl/>
        </w:rPr>
        <w:t>המידע מתפרסם לרוב בין ה-5 ל-12 בחודש, והתזמון אינו ידוע מראש.</w:t>
      </w:r>
    </w:p>
  </w:footnote>
  <w:footnote w:id="4">
    <w:p w:rsidR="00422F40" w:rsidRDefault="00422F40" w:rsidP="00422F40">
      <w:pPr>
        <w:pStyle w:val="af0"/>
        <w:jc w:val="both"/>
        <w:rPr>
          <w:rtl/>
        </w:rPr>
      </w:pPr>
      <w:r>
        <w:rPr>
          <w:rStyle w:val="af2"/>
        </w:rPr>
        <w:footnoteRef/>
      </w:r>
      <w:r>
        <w:rPr>
          <w:rtl/>
        </w:rPr>
        <w:t xml:space="preserve"> </w:t>
      </w:r>
      <w:r w:rsidRPr="008C358F">
        <w:rPr>
          <w:rFonts w:cs="Calibri"/>
          <w:rtl/>
        </w:rPr>
        <w:t xml:space="preserve">התחזית, </w:t>
      </w:r>
      <w:r>
        <w:rPr>
          <w:rFonts w:cs="Calibri" w:hint="cs"/>
          <w:rtl/>
        </w:rPr>
        <w:t>לתקופה אחת</w:t>
      </w:r>
      <w:r w:rsidRPr="008C358F">
        <w:rPr>
          <w:rFonts w:cs="Calibri"/>
          <w:rtl/>
        </w:rPr>
        <w:t xml:space="preserve"> קדימה, מבוססת על מודל </w:t>
      </w:r>
      <w:r w:rsidRPr="008C358F">
        <w:rPr>
          <w:rFonts w:cs="Calibri"/>
        </w:rPr>
        <w:t>ARMA(1,1)</w:t>
      </w:r>
      <w:r>
        <w:rPr>
          <w:rFonts w:cs="Calibri" w:hint="cs"/>
          <w:rtl/>
        </w:rPr>
        <w:t xml:space="preserve">, </w:t>
      </w:r>
      <w:r w:rsidRPr="008C358F">
        <w:rPr>
          <w:rFonts w:cs="Calibri"/>
          <w:rtl/>
        </w:rPr>
        <w:t>הנאמד על בסיס נתוני הג</w:t>
      </w:r>
      <w:r>
        <w:rPr>
          <w:rFonts w:cs="Calibri" w:hint="cs"/>
          <w:rtl/>
        </w:rPr>
        <w:t>י</w:t>
      </w:r>
      <w:r w:rsidRPr="008C358F">
        <w:rPr>
          <w:rFonts w:cs="Calibri"/>
          <w:rtl/>
        </w:rPr>
        <w:t xml:space="preserve">רעון ההיסטוריים עד למועד פרסום הנתון </w:t>
      </w:r>
      <w:r>
        <w:rPr>
          <w:rFonts w:cs="Calibri" w:hint="cs"/>
          <w:rtl/>
        </w:rPr>
        <w:t xml:space="preserve">החודשי </w:t>
      </w:r>
      <w:r w:rsidRPr="008C358F">
        <w:rPr>
          <w:rFonts w:cs="Calibri"/>
          <w:rtl/>
        </w:rPr>
        <w:t xml:space="preserve">החדש. </w:t>
      </w:r>
      <w:r>
        <w:rPr>
          <w:rFonts w:cs="Calibri" w:hint="cs"/>
          <w:rtl/>
        </w:rPr>
        <w:t xml:space="preserve">פרסום הגירעון המצטבר מתייחס לחודש שהסתיים, ולמעשה כמעט אין נתונים אחרים המתפרסמים לפניו (למשל נתוני שוק עבודה, שיכלו לתת אינדיקציה על צד ההכנסות). כיון שהתחזית מבוססת על מודל סטטיסטי, היא מוגבלת ביכולתה לזהות, את הרכיב הצפוי בשינויי הגירעון המשמעותיים שהוערכו על ידי השוק טרם פרסומם. </w:t>
      </w:r>
    </w:p>
  </w:footnote>
  <w:footnote w:id="5">
    <w:p w:rsidR="00422F40" w:rsidRDefault="00422F40" w:rsidP="00422F40">
      <w:pPr>
        <w:pStyle w:val="af0"/>
        <w:rPr>
          <w:rtl/>
        </w:rPr>
      </w:pPr>
      <w:r>
        <w:rPr>
          <w:rStyle w:val="af2"/>
        </w:rPr>
        <w:footnoteRef/>
      </w:r>
      <w:r>
        <w:rPr>
          <w:rtl/>
        </w:rPr>
        <w:t xml:space="preserve"> </w:t>
      </w:r>
      <w:r w:rsidRPr="002F751A">
        <w:rPr>
          <w:rFonts w:cs="Calibri" w:hint="cs"/>
          <w:rtl/>
        </w:rPr>
        <w:t>ההפתעה הממוצעת (בערך מוחלט) בתקופת המדגם היא בגודל 0.25 אחוזי תוצר.</w:t>
      </w:r>
    </w:p>
  </w:footnote>
  <w:footnote w:id="6">
    <w:p w:rsidR="00422F40" w:rsidRDefault="00422F40" w:rsidP="00422F40">
      <w:pPr>
        <w:pStyle w:val="af0"/>
      </w:pPr>
      <w:r>
        <w:rPr>
          <w:rStyle w:val="af2"/>
        </w:rPr>
        <w:footnoteRef/>
      </w:r>
      <w:r>
        <w:rPr>
          <w:rtl/>
        </w:rPr>
        <w:t xml:space="preserve"> </w:t>
      </w:r>
      <w:r w:rsidRPr="002F751A">
        <w:rPr>
          <w:rFonts w:cs="Calibri"/>
          <w:rtl/>
        </w:rPr>
        <w:t xml:space="preserve">נסייג ונאמר כי מדידת ציפיות האינפלציה משוק ההון מכלילה בהן פרמיות הקשורות בנזילות ובסיכון של שוקי </w:t>
      </w:r>
      <w:proofErr w:type="spellStart"/>
      <w:r w:rsidRPr="002F751A">
        <w:rPr>
          <w:rFonts w:cs="Calibri"/>
          <w:rtl/>
        </w:rPr>
        <w:t>האג</w:t>
      </w:r>
      <w:r w:rsidRPr="002F751A">
        <w:rPr>
          <w:rFonts w:cs="Calibri" w:hint="cs"/>
          <w:rtl/>
        </w:rPr>
        <w:t>"</w:t>
      </w:r>
      <w:r w:rsidRPr="002F751A">
        <w:rPr>
          <w:rFonts w:cs="Calibri"/>
          <w:rtl/>
        </w:rPr>
        <w:t>ח</w:t>
      </w:r>
      <w:proofErr w:type="spellEnd"/>
      <w:r w:rsidRPr="002F751A">
        <w:rPr>
          <w:rFonts w:cs="Calibri"/>
          <w:rtl/>
        </w:rPr>
        <w:t xml:space="preserve"> הממשלתיות </w:t>
      </w:r>
      <w:r w:rsidRPr="002F751A">
        <w:rPr>
          <w:rFonts w:cs="Calibri" w:hint="cs"/>
          <w:rtl/>
        </w:rPr>
        <w:t>(</w:t>
      </w:r>
      <w:r w:rsidRPr="002F751A">
        <w:rPr>
          <w:rFonts w:cs="Calibri"/>
          <w:rtl/>
        </w:rPr>
        <w:t>הצמודות</w:t>
      </w:r>
      <w:r w:rsidRPr="002F751A">
        <w:rPr>
          <w:rFonts w:cs="Calibri" w:hint="cs"/>
          <w:rtl/>
        </w:rPr>
        <w:t xml:space="preserve"> </w:t>
      </w:r>
      <w:proofErr w:type="spellStart"/>
      <w:r w:rsidRPr="002F751A">
        <w:rPr>
          <w:rFonts w:cs="Calibri"/>
          <w:rtl/>
        </w:rPr>
        <w:t>והשקליות</w:t>
      </w:r>
      <w:proofErr w:type="spellEnd"/>
      <w:r w:rsidRPr="002F751A">
        <w:rPr>
          <w:rFonts w:cs="Calibri" w:hint="cs"/>
          <w:rtl/>
        </w:rPr>
        <w:t>)</w:t>
      </w:r>
      <w:r w:rsidRPr="002F751A">
        <w:rPr>
          <w:rFonts w:cs="Calibri"/>
          <w:rtl/>
        </w:rPr>
        <w:t xml:space="preserve">. ייתכן אפוא שהמידע על הגירעון מלמד על צורכי הגיוס בטווח </w:t>
      </w:r>
      <w:r w:rsidRPr="002F751A">
        <w:rPr>
          <w:rFonts w:cs="Calibri" w:hint="cs"/>
          <w:rtl/>
        </w:rPr>
        <w:t>ה</w:t>
      </w:r>
      <w:r w:rsidRPr="002F751A">
        <w:rPr>
          <w:rFonts w:cs="Calibri"/>
          <w:rtl/>
        </w:rPr>
        <w:t>קצר, ובכך משפיע על ציפיות השחקנים בשווקים אלו באשר לתמהיל</w:t>
      </w:r>
      <w:r w:rsidRPr="002F751A">
        <w:rPr>
          <w:rFonts w:cs="Calibri" w:hint="cs"/>
          <w:rtl/>
        </w:rPr>
        <w:t xml:space="preserve"> </w:t>
      </w:r>
      <w:r w:rsidRPr="002F751A">
        <w:rPr>
          <w:rFonts w:cs="Calibri"/>
          <w:rtl/>
        </w:rPr>
        <w:t>ההנפקות הקרובות.</w:t>
      </w:r>
    </w:p>
  </w:footnote>
  <w:footnote w:id="7">
    <w:p w:rsidR="00422F40" w:rsidRDefault="00422F40" w:rsidP="00422F40">
      <w:pPr>
        <w:pStyle w:val="af0"/>
      </w:pPr>
      <w:r>
        <w:rPr>
          <w:rStyle w:val="af2"/>
        </w:rPr>
        <w:footnoteRef/>
      </w:r>
      <w:r>
        <w:rPr>
          <w:rtl/>
        </w:rPr>
        <w:t xml:space="preserve"> </w:t>
      </w:r>
      <w:r w:rsidRPr="002F751A">
        <w:rPr>
          <w:rFonts w:cs="Calibri"/>
          <w:rtl/>
        </w:rPr>
        <w:t>כמבחן פלצבו אמדנו את המשוואה מחדש: הקדמנו את ימי פרסום הגירעון וההפתעות בחמישה ימים. נמצאה תגובה לא מובהקת של הציפיות לאינפלציה ב-</w:t>
      </w:r>
      <w:r w:rsidRPr="002F751A">
        <w:rPr>
          <w:rFonts w:cs="Calibri"/>
        </w:rPr>
        <w:t>LP</w:t>
      </w:r>
      <w:r w:rsidRPr="002F751A">
        <w:rPr>
          <w:rFonts w:cs="Calibri"/>
          <w:rtl/>
        </w:rPr>
        <w:t xml:space="preserve"> באופק של עד חמישה ימים, ממצא התומך בהערכה שהשינוי בגירעון לא היה צפוי.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32F23"/>
    <w:multiLevelType w:val="hybridMultilevel"/>
    <w:tmpl w:val="DB9A37A2"/>
    <w:lvl w:ilvl="0" w:tplc="8DECFB58">
      <w:numFmt w:val="bullet"/>
      <w:lvlText w:val=""/>
      <w:lvlJc w:val="left"/>
      <w:pPr>
        <w:ind w:left="720" w:hanging="360"/>
      </w:pPr>
      <w:rPr>
        <w:rFonts w:ascii="Symbol" w:eastAsia="Calibri" w:hAnsi="Symbol" w:cs="Calibri" w:hint="default"/>
      </w:rPr>
    </w:lvl>
    <w:lvl w:ilvl="1" w:tplc="F1201A1C" w:tentative="1">
      <w:start w:val="1"/>
      <w:numFmt w:val="bullet"/>
      <w:lvlText w:val="o"/>
      <w:lvlJc w:val="left"/>
      <w:pPr>
        <w:ind w:left="1440" w:hanging="360"/>
      </w:pPr>
      <w:rPr>
        <w:rFonts w:ascii="Courier New" w:hAnsi="Courier New" w:cs="Courier New" w:hint="default"/>
      </w:rPr>
    </w:lvl>
    <w:lvl w:ilvl="2" w:tplc="F33013D2" w:tentative="1">
      <w:start w:val="1"/>
      <w:numFmt w:val="bullet"/>
      <w:lvlText w:val=""/>
      <w:lvlJc w:val="left"/>
      <w:pPr>
        <w:ind w:left="2160" w:hanging="360"/>
      </w:pPr>
      <w:rPr>
        <w:rFonts w:ascii="Wingdings" w:hAnsi="Wingdings" w:hint="default"/>
      </w:rPr>
    </w:lvl>
    <w:lvl w:ilvl="3" w:tplc="B2F4BEF2" w:tentative="1">
      <w:start w:val="1"/>
      <w:numFmt w:val="bullet"/>
      <w:lvlText w:val=""/>
      <w:lvlJc w:val="left"/>
      <w:pPr>
        <w:ind w:left="2880" w:hanging="360"/>
      </w:pPr>
      <w:rPr>
        <w:rFonts w:ascii="Symbol" w:hAnsi="Symbol" w:hint="default"/>
      </w:rPr>
    </w:lvl>
    <w:lvl w:ilvl="4" w:tplc="01764A9E" w:tentative="1">
      <w:start w:val="1"/>
      <w:numFmt w:val="bullet"/>
      <w:lvlText w:val="o"/>
      <w:lvlJc w:val="left"/>
      <w:pPr>
        <w:ind w:left="3600" w:hanging="360"/>
      </w:pPr>
      <w:rPr>
        <w:rFonts w:ascii="Courier New" w:hAnsi="Courier New" w:cs="Courier New" w:hint="default"/>
      </w:rPr>
    </w:lvl>
    <w:lvl w:ilvl="5" w:tplc="1DDE1C8A" w:tentative="1">
      <w:start w:val="1"/>
      <w:numFmt w:val="bullet"/>
      <w:lvlText w:val=""/>
      <w:lvlJc w:val="left"/>
      <w:pPr>
        <w:ind w:left="4320" w:hanging="360"/>
      </w:pPr>
      <w:rPr>
        <w:rFonts w:ascii="Wingdings" w:hAnsi="Wingdings" w:hint="default"/>
      </w:rPr>
    </w:lvl>
    <w:lvl w:ilvl="6" w:tplc="52C01056" w:tentative="1">
      <w:start w:val="1"/>
      <w:numFmt w:val="bullet"/>
      <w:lvlText w:val=""/>
      <w:lvlJc w:val="left"/>
      <w:pPr>
        <w:ind w:left="5040" w:hanging="360"/>
      </w:pPr>
      <w:rPr>
        <w:rFonts w:ascii="Symbol" w:hAnsi="Symbol" w:hint="default"/>
      </w:rPr>
    </w:lvl>
    <w:lvl w:ilvl="7" w:tplc="F2FA05B8" w:tentative="1">
      <w:start w:val="1"/>
      <w:numFmt w:val="bullet"/>
      <w:lvlText w:val="o"/>
      <w:lvlJc w:val="left"/>
      <w:pPr>
        <w:ind w:left="5760" w:hanging="360"/>
      </w:pPr>
      <w:rPr>
        <w:rFonts w:ascii="Courier New" w:hAnsi="Courier New" w:cs="Courier New" w:hint="default"/>
      </w:rPr>
    </w:lvl>
    <w:lvl w:ilvl="8" w:tplc="C2A608CA" w:tentative="1">
      <w:start w:val="1"/>
      <w:numFmt w:val="bullet"/>
      <w:lvlText w:val=""/>
      <w:lvlJc w:val="left"/>
      <w:pPr>
        <w:ind w:left="6480" w:hanging="360"/>
      </w:pPr>
      <w:rPr>
        <w:rFonts w:ascii="Wingdings" w:hAnsi="Wingdings" w:hint="default"/>
      </w:rPr>
    </w:lvl>
  </w:abstractNum>
  <w:abstractNum w:abstractNumId="5"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E3B3A"/>
    <w:multiLevelType w:val="hybridMultilevel"/>
    <w:tmpl w:val="A0CA0784"/>
    <w:lvl w:ilvl="0" w:tplc="882C9F16">
      <w:numFmt w:val="bullet"/>
      <w:lvlText w:val=""/>
      <w:lvlJc w:val="left"/>
      <w:pPr>
        <w:ind w:left="720" w:hanging="360"/>
      </w:pPr>
      <w:rPr>
        <w:rFonts w:ascii="Symbol" w:eastAsia="Calibri" w:hAnsi="Symbol" w:cs="Times New Roman" w:hint="default"/>
      </w:rPr>
    </w:lvl>
    <w:lvl w:ilvl="1" w:tplc="AF9EF06E" w:tentative="1">
      <w:start w:val="1"/>
      <w:numFmt w:val="bullet"/>
      <w:lvlText w:val="o"/>
      <w:lvlJc w:val="left"/>
      <w:pPr>
        <w:ind w:left="1440" w:hanging="360"/>
      </w:pPr>
      <w:rPr>
        <w:rFonts w:ascii="Courier New" w:hAnsi="Courier New" w:cs="Courier New" w:hint="default"/>
      </w:rPr>
    </w:lvl>
    <w:lvl w:ilvl="2" w:tplc="45B254A0" w:tentative="1">
      <w:start w:val="1"/>
      <w:numFmt w:val="bullet"/>
      <w:lvlText w:val=""/>
      <w:lvlJc w:val="left"/>
      <w:pPr>
        <w:ind w:left="2160" w:hanging="360"/>
      </w:pPr>
      <w:rPr>
        <w:rFonts w:ascii="Wingdings" w:hAnsi="Wingdings" w:hint="default"/>
      </w:rPr>
    </w:lvl>
    <w:lvl w:ilvl="3" w:tplc="FC6E9258" w:tentative="1">
      <w:start w:val="1"/>
      <w:numFmt w:val="bullet"/>
      <w:lvlText w:val=""/>
      <w:lvlJc w:val="left"/>
      <w:pPr>
        <w:ind w:left="2880" w:hanging="360"/>
      </w:pPr>
      <w:rPr>
        <w:rFonts w:ascii="Symbol" w:hAnsi="Symbol" w:hint="default"/>
      </w:rPr>
    </w:lvl>
    <w:lvl w:ilvl="4" w:tplc="A53EC846" w:tentative="1">
      <w:start w:val="1"/>
      <w:numFmt w:val="bullet"/>
      <w:lvlText w:val="o"/>
      <w:lvlJc w:val="left"/>
      <w:pPr>
        <w:ind w:left="3600" w:hanging="360"/>
      </w:pPr>
      <w:rPr>
        <w:rFonts w:ascii="Courier New" w:hAnsi="Courier New" w:cs="Courier New" w:hint="default"/>
      </w:rPr>
    </w:lvl>
    <w:lvl w:ilvl="5" w:tplc="98185C14" w:tentative="1">
      <w:start w:val="1"/>
      <w:numFmt w:val="bullet"/>
      <w:lvlText w:val=""/>
      <w:lvlJc w:val="left"/>
      <w:pPr>
        <w:ind w:left="4320" w:hanging="360"/>
      </w:pPr>
      <w:rPr>
        <w:rFonts w:ascii="Wingdings" w:hAnsi="Wingdings" w:hint="default"/>
      </w:rPr>
    </w:lvl>
    <w:lvl w:ilvl="6" w:tplc="DD24390C" w:tentative="1">
      <w:start w:val="1"/>
      <w:numFmt w:val="bullet"/>
      <w:lvlText w:val=""/>
      <w:lvlJc w:val="left"/>
      <w:pPr>
        <w:ind w:left="5040" w:hanging="360"/>
      </w:pPr>
      <w:rPr>
        <w:rFonts w:ascii="Symbol" w:hAnsi="Symbol" w:hint="default"/>
      </w:rPr>
    </w:lvl>
    <w:lvl w:ilvl="7" w:tplc="F9B4F202" w:tentative="1">
      <w:start w:val="1"/>
      <w:numFmt w:val="bullet"/>
      <w:lvlText w:val="o"/>
      <w:lvlJc w:val="left"/>
      <w:pPr>
        <w:ind w:left="5760" w:hanging="360"/>
      </w:pPr>
      <w:rPr>
        <w:rFonts w:ascii="Courier New" w:hAnsi="Courier New" w:cs="Courier New" w:hint="default"/>
      </w:rPr>
    </w:lvl>
    <w:lvl w:ilvl="8" w:tplc="EBC46BC6" w:tentative="1">
      <w:start w:val="1"/>
      <w:numFmt w:val="bullet"/>
      <w:lvlText w:val=""/>
      <w:lvlJc w:val="left"/>
      <w:pPr>
        <w:ind w:left="6480" w:hanging="360"/>
      </w:pPr>
      <w:rPr>
        <w:rFonts w:ascii="Wingdings" w:hAnsi="Wingdings" w:hint="default"/>
      </w:rPr>
    </w:lvl>
  </w:abstractNum>
  <w:abstractNum w:abstractNumId="14"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6"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19"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6150FEA"/>
    <w:multiLevelType w:val="hybridMultilevel"/>
    <w:tmpl w:val="889EABD0"/>
    <w:lvl w:ilvl="0" w:tplc="EF729574">
      <w:start w:val="1"/>
      <w:numFmt w:val="decimal"/>
      <w:lvlText w:val="%1."/>
      <w:lvlJc w:val="left"/>
      <w:pPr>
        <w:ind w:left="720" w:hanging="360"/>
      </w:pPr>
      <w:rPr>
        <w:rFonts w:hint="default"/>
        <w:b/>
        <w:bCs/>
        <w:color w:val="auto"/>
      </w:rPr>
    </w:lvl>
    <w:lvl w:ilvl="1" w:tplc="62CECDDE" w:tentative="1">
      <w:start w:val="1"/>
      <w:numFmt w:val="lowerLetter"/>
      <w:lvlText w:val="%2."/>
      <w:lvlJc w:val="left"/>
      <w:pPr>
        <w:ind w:left="1440" w:hanging="360"/>
      </w:pPr>
    </w:lvl>
    <w:lvl w:ilvl="2" w:tplc="53403768" w:tentative="1">
      <w:start w:val="1"/>
      <w:numFmt w:val="lowerRoman"/>
      <w:lvlText w:val="%3."/>
      <w:lvlJc w:val="right"/>
      <w:pPr>
        <w:ind w:left="2160" w:hanging="180"/>
      </w:pPr>
    </w:lvl>
    <w:lvl w:ilvl="3" w:tplc="DCF2C7B8" w:tentative="1">
      <w:start w:val="1"/>
      <w:numFmt w:val="decimal"/>
      <w:lvlText w:val="%4."/>
      <w:lvlJc w:val="left"/>
      <w:pPr>
        <w:ind w:left="2880" w:hanging="360"/>
      </w:pPr>
    </w:lvl>
    <w:lvl w:ilvl="4" w:tplc="96ACEDAC" w:tentative="1">
      <w:start w:val="1"/>
      <w:numFmt w:val="lowerLetter"/>
      <w:lvlText w:val="%5."/>
      <w:lvlJc w:val="left"/>
      <w:pPr>
        <w:ind w:left="3600" w:hanging="360"/>
      </w:pPr>
    </w:lvl>
    <w:lvl w:ilvl="5" w:tplc="5E068CCA" w:tentative="1">
      <w:start w:val="1"/>
      <w:numFmt w:val="lowerRoman"/>
      <w:lvlText w:val="%6."/>
      <w:lvlJc w:val="right"/>
      <w:pPr>
        <w:ind w:left="4320" w:hanging="180"/>
      </w:pPr>
    </w:lvl>
    <w:lvl w:ilvl="6" w:tplc="B8063750" w:tentative="1">
      <w:start w:val="1"/>
      <w:numFmt w:val="decimal"/>
      <w:lvlText w:val="%7."/>
      <w:lvlJc w:val="left"/>
      <w:pPr>
        <w:ind w:left="5040" w:hanging="360"/>
      </w:pPr>
    </w:lvl>
    <w:lvl w:ilvl="7" w:tplc="6FD008C2" w:tentative="1">
      <w:start w:val="1"/>
      <w:numFmt w:val="lowerLetter"/>
      <w:lvlText w:val="%8."/>
      <w:lvlJc w:val="left"/>
      <w:pPr>
        <w:ind w:left="5760" w:hanging="360"/>
      </w:pPr>
    </w:lvl>
    <w:lvl w:ilvl="8" w:tplc="6E845C12" w:tentative="1">
      <w:start w:val="1"/>
      <w:numFmt w:val="lowerRoman"/>
      <w:lvlText w:val="%9."/>
      <w:lvlJc w:val="right"/>
      <w:pPr>
        <w:ind w:left="6480" w:hanging="180"/>
      </w:pPr>
    </w:lvl>
  </w:abstractNum>
  <w:abstractNum w:abstractNumId="28"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3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7"/>
  </w:num>
  <w:num w:numId="4">
    <w:abstractNumId w:val="9"/>
  </w:num>
  <w:num w:numId="5">
    <w:abstractNumId w:val="8"/>
  </w:num>
  <w:num w:numId="6">
    <w:abstractNumId w:val="3"/>
  </w:num>
  <w:num w:numId="7">
    <w:abstractNumId w:val="17"/>
  </w:num>
  <w:num w:numId="8">
    <w:abstractNumId w:val="24"/>
  </w:num>
  <w:num w:numId="9">
    <w:abstractNumId w:val="28"/>
  </w:num>
  <w:num w:numId="10">
    <w:abstractNumId w:val="20"/>
  </w:num>
  <w:num w:numId="11">
    <w:abstractNumId w:val="16"/>
  </w:num>
  <w:num w:numId="12">
    <w:abstractNumId w:val="21"/>
  </w:num>
  <w:num w:numId="13">
    <w:abstractNumId w:val="14"/>
  </w:num>
  <w:num w:numId="14">
    <w:abstractNumId w:val="5"/>
  </w:num>
  <w:num w:numId="15">
    <w:abstractNumId w:val="22"/>
  </w:num>
  <w:num w:numId="16">
    <w:abstractNumId w:val="2"/>
  </w:num>
  <w:num w:numId="17">
    <w:abstractNumId w:val="32"/>
  </w:num>
  <w:num w:numId="18">
    <w:abstractNumId w:val="29"/>
  </w:num>
  <w:num w:numId="19">
    <w:abstractNumId w:val="26"/>
  </w:num>
  <w:num w:numId="20">
    <w:abstractNumId w:val="25"/>
  </w:num>
  <w:num w:numId="21">
    <w:abstractNumId w:val="1"/>
  </w:num>
  <w:num w:numId="22">
    <w:abstractNumId w:val="10"/>
  </w:num>
  <w:num w:numId="23">
    <w:abstractNumId w:val="30"/>
  </w:num>
  <w:num w:numId="24">
    <w:abstractNumId w:val="19"/>
  </w:num>
  <w:num w:numId="25">
    <w:abstractNumId w:val="23"/>
  </w:num>
  <w:num w:numId="26">
    <w:abstractNumId w:val="31"/>
  </w:num>
  <w:num w:numId="27">
    <w:abstractNumId w:val="0"/>
  </w:num>
  <w:num w:numId="28">
    <w:abstractNumId w:val="15"/>
  </w:num>
  <w:num w:numId="29">
    <w:abstractNumId w:val="18"/>
  </w:num>
  <w:num w:numId="30">
    <w:abstractNumId w:val="12"/>
  </w:num>
  <w:num w:numId="31">
    <w:abstractNumId w:val="27"/>
  </w:num>
  <w:num w:numId="32">
    <w:abstractNumId w:val="13"/>
  </w:num>
  <w:num w:numId="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ocumentProtection w:edit="trackedChange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1F47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2F40"/>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31FD"/>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1C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7.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34AF-0E08-49FB-9059-783F28A8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993</Words>
  <Characters>4969</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2025-03-18T08:15:00Z</dcterms:created>
  <dcterms:modified xsi:type="dcterms:W3CDTF">2025-03-18T08:15:00Z</dcterms:modified>
</cp:coreProperties>
</file>