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rFonts w:ascii="Calibri" w:hAnsi="Calibri" w:cs="Calibri"/>
                <w:b/>
                <w:bCs/>
                <w:sz w:val="24"/>
                <w:szCs w:val="24"/>
                <w:rtl/>
              </w:rPr>
            </w:pPr>
            <w:r w:rsidRPr="00202530">
              <w:rPr>
                <w:rFonts w:ascii="Calibri" w:hAnsi="Calibri" w:cs="Calibri"/>
                <w:b/>
                <w:bCs/>
                <w:sz w:val="24"/>
                <w:szCs w:val="24"/>
                <w:rtl/>
              </w:rPr>
              <w:t>בנק ישראל</w:t>
            </w:r>
          </w:p>
          <w:p w:rsidR="009005BA" w:rsidRPr="00202530" w:rsidRDefault="009005BA" w:rsidP="0029736D">
            <w:pPr>
              <w:rPr>
                <w:rFonts w:ascii="Calibri" w:hAnsi="Calibri" w:cs="Calibri"/>
                <w:b/>
                <w:bCs/>
                <w:sz w:val="28"/>
                <w:szCs w:val="28"/>
              </w:rPr>
            </w:pPr>
            <w:r w:rsidRPr="0020253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rPr>
                <w:rFonts w:ascii="Calibri" w:hAnsi="Calibri" w:cs="Calibri"/>
              </w:rPr>
            </w:pPr>
            <w:r w:rsidRPr="00202530">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202530" w:rsidRDefault="009005BA" w:rsidP="009005BA">
            <w:pPr>
              <w:jc w:val="right"/>
              <w:rPr>
                <w:rFonts w:ascii="Calibri" w:hAnsi="Calibri" w:cs="Calibri"/>
                <w:rtl/>
              </w:rPr>
            </w:pPr>
            <w:r w:rsidRPr="00202530">
              <w:rPr>
                <w:rFonts w:ascii="Calibri" w:hAnsi="Calibri" w:cs="Calibri"/>
                <w:highlight w:val="green"/>
                <w:rtl/>
              </w:rPr>
              <w:t>‏</w:t>
            </w:r>
            <w:r w:rsidRPr="00202530">
              <w:rPr>
                <w:rFonts w:ascii="Calibri" w:hAnsi="Calibri" w:cs="Calibri"/>
                <w:rtl/>
              </w:rPr>
              <w:t xml:space="preserve">ירושלים, </w:t>
            </w:r>
            <w:r w:rsidRPr="00202530">
              <w:rPr>
                <w:rFonts w:ascii="Calibri" w:hAnsi="Calibri" w:cs="Calibri"/>
                <w:rtl/>
              </w:rPr>
              <w:fldChar w:fldCharType="begin"/>
            </w:r>
            <w:r w:rsidRPr="00202530">
              <w:rPr>
                <w:rFonts w:ascii="Calibri" w:hAnsi="Calibri" w:cs="Calibri"/>
                <w:rtl/>
              </w:rPr>
              <w:instrText xml:space="preserve"> </w:instrText>
            </w:r>
            <w:r w:rsidRPr="00202530">
              <w:rPr>
                <w:rFonts w:ascii="Calibri" w:hAnsi="Calibri" w:cs="Calibri"/>
              </w:rPr>
              <w:instrText>DATE</w:instrText>
            </w:r>
            <w:r w:rsidRPr="00202530">
              <w:rPr>
                <w:rFonts w:ascii="Calibri" w:hAnsi="Calibri" w:cs="Calibri"/>
                <w:rtl/>
              </w:rPr>
              <w:instrText xml:space="preserve"> \@ "</w:instrText>
            </w:r>
            <w:r w:rsidRPr="00202530">
              <w:rPr>
                <w:rFonts w:ascii="Calibri" w:hAnsi="Calibri" w:cs="Calibri"/>
              </w:rPr>
              <w:instrText>d MMMM, yyyy" \h</w:instrText>
            </w:r>
            <w:r w:rsidRPr="00202530">
              <w:rPr>
                <w:rFonts w:ascii="Calibri" w:hAnsi="Calibri" w:cs="Calibri"/>
                <w:rtl/>
              </w:rPr>
              <w:instrText xml:space="preserve"> </w:instrText>
            </w:r>
            <w:r w:rsidRPr="00202530">
              <w:rPr>
                <w:rFonts w:ascii="Calibri" w:hAnsi="Calibri" w:cs="Calibri"/>
                <w:rtl/>
              </w:rPr>
              <w:fldChar w:fldCharType="separate"/>
            </w:r>
            <w:r w:rsidR="007C6E51">
              <w:rPr>
                <w:rFonts w:ascii="Calibri" w:hAnsi="Calibri" w:cs="Calibri"/>
                <w:noProof/>
                <w:rtl/>
              </w:rPr>
              <w:t>‏ו' טבת, תשפ"ה</w:t>
            </w:r>
            <w:r w:rsidRPr="00202530">
              <w:rPr>
                <w:rFonts w:ascii="Calibri" w:hAnsi="Calibri" w:cs="Calibri"/>
                <w:rtl/>
              </w:rPr>
              <w:fldChar w:fldCharType="end"/>
            </w:r>
          </w:p>
          <w:p w:rsidR="009005BA" w:rsidRPr="00202530" w:rsidRDefault="009005BA" w:rsidP="009005BA">
            <w:pPr>
              <w:jc w:val="right"/>
              <w:rPr>
                <w:rFonts w:ascii="Calibri" w:hAnsi="Calibri" w:cs="Calibri"/>
                <w:highlight w:val="green"/>
              </w:rPr>
            </w:pPr>
            <w:r w:rsidRPr="00202530">
              <w:rPr>
                <w:rFonts w:ascii="Calibri" w:hAnsi="Calibri" w:cs="Calibri"/>
                <w:rtl/>
              </w:rPr>
              <w:fldChar w:fldCharType="begin"/>
            </w:r>
            <w:r w:rsidRPr="00202530">
              <w:rPr>
                <w:rFonts w:ascii="Calibri" w:hAnsi="Calibri" w:cs="Calibri"/>
                <w:rtl/>
              </w:rPr>
              <w:instrText xml:space="preserve"> </w:instrText>
            </w:r>
            <w:r w:rsidRPr="00202530">
              <w:rPr>
                <w:rFonts w:ascii="Calibri" w:hAnsi="Calibri" w:cs="Calibri"/>
              </w:rPr>
              <w:instrText>DATE</w:instrText>
            </w:r>
            <w:r w:rsidRPr="00202530">
              <w:rPr>
                <w:rFonts w:ascii="Calibri" w:hAnsi="Calibri" w:cs="Calibri"/>
                <w:rtl/>
              </w:rPr>
              <w:instrText xml:space="preserve"> \@ "</w:instrText>
            </w:r>
            <w:r w:rsidRPr="00202530">
              <w:rPr>
                <w:rFonts w:ascii="Calibri" w:hAnsi="Calibri" w:cs="Calibri"/>
              </w:rPr>
              <w:instrText>d MMMM, yyyy</w:instrText>
            </w:r>
            <w:r w:rsidRPr="00202530">
              <w:rPr>
                <w:rFonts w:ascii="Calibri" w:hAnsi="Calibri" w:cs="Calibri"/>
                <w:rtl/>
              </w:rPr>
              <w:instrText xml:space="preserve">" </w:instrText>
            </w:r>
            <w:r w:rsidRPr="00202530">
              <w:rPr>
                <w:rFonts w:ascii="Calibri" w:hAnsi="Calibri" w:cs="Calibri"/>
                <w:rtl/>
              </w:rPr>
              <w:fldChar w:fldCharType="separate"/>
            </w:r>
            <w:r w:rsidR="007C6E51">
              <w:rPr>
                <w:rFonts w:ascii="Calibri" w:hAnsi="Calibri" w:cs="Calibri"/>
                <w:noProof/>
                <w:rtl/>
              </w:rPr>
              <w:t>‏6 ינואר, 2025</w:t>
            </w:r>
            <w:r w:rsidRPr="00202530">
              <w:rPr>
                <w:rFonts w:ascii="Calibri" w:hAnsi="Calibri" w:cs="Calibri"/>
                <w:rtl/>
              </w:rPr>
              <w:fldChar w:fldCharType="end"/>
            </w:r>
          </w:p>
        </w:tc>
      </w:tr>
    </w:tbl>
    <w:p w:rsidR="009005BA" w:rsidRPr="00202530" w:rsidRDefault="009005BA" w:rsidP="007B0741">
      <w:pPr>
        <w:tabs>
          <w:tab w:val="left" w:pos="2315"/>
        </w:tabs>
        <w:rPr>
          <w:rFonts w:ascii="Calibri" w:hAnsi="Calibri" w:cs="Calibri"/>
          <w:sz w:val="24"/>
          <w:szCs w:val="24"/>
          <w:rtl/>
        </w:rPr>
      </w:pPr>
    </w:p>
    <w:p w:rsidR="00D66255" w:rsidRPr="00202530" w:rsidRDefault="008E761A" w:rsidP="009005BA">
      <w:pPr>
        <w:tabs>
          <w:tab w:val="left" w:pos="2315"/>
        </w:tabs>
        <w:rPr>
          <w:rFonts w:ascii="Calibri" w:hAnsi="Calibri" w:cs="Calibri"/>
          <w:sz w:val="24"/>
          <w:szCs w:val="24"/>
          <w:rtl/>
        </w:rPr>
      </w:pPr>
      <w:r w:rsidRPr="00202530">
        <w:rPr>
          <w:rFonts w:ascii="Calibri" w:hAnsi="Calibri" w:cs="Calibri"/>
          <w:sz w:val="24"/>
          <w:szCs w:val="24"/>
          <w:rtl/>
        </w:rPr>
        <w:t>הודעה לעיתונות:</w:t>
      </w:r>
    </w:p>
    <w:p w:rsidR="00202530" w:rsidRPr="00202530" w:rsidRDefault="00202530" w:rsidP="00202530">
      <w:pPr>
        <w:pStyle w:val="afb"/>
        <w:rPr>
          <w:rFonts w:ascii="Calibri" w:hAnsi="Calibri" w:cs="Calibri"/>
          <w:rtl/>
        </w:rPr>
      </w:pPr>
      <w:r w:rsidRPr="00202530">
        <w:rPr>
          <w:rFonts w:ascii="Calibri" w:hAnsi="Calibri" w:cs="Calibri"/>
          <w:rtl/>
        </w:rPr>
        <w:t>התחזית המקרו-כלכלית של חטיבת המחקר, ינואר 2025</w:t>
      </w:r>
    </w:p>
    <w:p w:rsidR="00202530" w:rsidRPr="00202530" w:rsidRDefault="00202530" w:rsidP="00202530">
      <w:pPr>
        <w:pStyle w:val="11"/>
        <w:rPr>
          <w:rFonts w:ascii="Calibri" w:hAnsi="Calibri" w:cs="Calibri"/>
        </w:rPr>
      </w:pPr>
      <w:r w:rsidRPr="00202530">
        <w:rPr>
          <w:rFonts w:ascii="Calibri" w:hAnsi="Calibri" w:cs="Calibri"/>
          <w:rtl/>
        </w:rPr>
        <w:t>תמצית</w:t>
      </w:r>
    </w:p>
    <w:p w:rsidR="00202530" w:rsidRPr="00202530" w:rsidRDefault="00202530" w:rsidP="00202530">
      <w:pPr>
        <w:spacing w:after="120"/>
        <w:jc w:val="both"/>
        <w:rPr>
          <w:rFonts w:ascii="Calibri" w:eastAsia="Calibri" w:hAnsi="Calibri" w:cs="Calibri"/>
          <w:rtl/>
        </w:rPr>
      </w:pPr>
      <w:r w:rsidRPr="00202530">
        <w:rPr>
          <w:rFonts w:ascii="Calibri" w:eastAsia="Calibri" w:hAnsi="Calibri" w:cs="Calibri"/>
          <w:rtl/>
        </w:rPr>
        <w:t>מסמך זה מציג את התחזית המקרו-כלכלית שחטיבת המחקר בבנק ישראל גיבשה בינואר 2025 בנוגע למשתני המקרו העיקריים – התוצר, האינפלציה והריבית.</w:t>
      </w:r>
      <w:r w:rsidRPr="00202530">
        <w:rPr>
          <w:rFonts w:ascii="Calibri" w:eastAsia="Calibri" w:hAnsi="Calibri" w:cs="Calibri"/>
          <w:vertAlign w:val="superscript"/>
          <w:rtl/>
        </w:rPr>
        <w:footnoteReference w:id="1"/>
      </w:r>
      <w:r w:rsidRPr="00202530">
        <w:rPr>
          <w:rFonts w:ascii="Calibri" w:eastAsia="Calibri" w:hAnsi="Calibri" w:cs="Calibri"/>
          <w:rtl/>
        </w:rPr>
        <w:t xml:space="preserve"> על פי התרחיש הבסיסי של התחזית, ההערכה היא כי התוצר צמח</w:t>
      </w:r>
      <w:r w:rsidR="007C6E51">
        <w:rPr>
          <w:rFonts w:ascii="Calibri" w:eastAsia="Calibri" w:hAnsi="Calibri" w:cs="Calibri" w:hint="cs"/>
          <w:rtl/>
        </w:rPr>
        <w:t xml:space="preserve"> </w:t>
      </w:r>
      <w:bookmarkStart w:id="0" w:name="_GoBack"/>
      <w:bookmarkEnd w:id="0"/>
      <w:r w:rsidRPr="00202530">
        <w:rPr>
          <w:rFonts w:ascii="Calibri" w:eastAsia="Calibri" w:hAnsi="Calibri" w:cs="Calibri"/>
          <w:rtl/>
        </w:rPr>
        <w:t xml:space="preserve">בשנת 2024 בשיעור של 0.6% והוא צפוי לצמוח בשנת 2025 ב-4.0% וב-2026 ב-4.5%. שיעור האינפלציה בארבעת הרבעונים הקרובים (המסתיימים ברבעון הרביעי של שנת 2025) צפוי לעמוד על 2.6% ושיעור האינפלציה במהלך שנת 2026 על 2.3%. רמת הריבית ברבעון הרביעי של 2025 צפויה לעמוד בממוצע על </w:t>
      </w:r>
      <w:r w:rsidRPr="00202530">
        <w:rPr>
          <w:rFonts w:ascii="Calibri" w:hAnsi="Calibri" w:cs="Calibri"/>
          <w:rtl/>
        </w:rPr>
        <w:t>4.0/4.25</w:t>
      </w:r>
      <w:r w:rsidRPr="00202530">
        <w:rPr>
          <w:rFonts w:ascii="Calibri" w:eastAsia="Calibri" w:hAnsi="Calibri" w:cs="Calibri"/>
          <w:rtl/>
        </w:rPr>
        <w:t xml:space="preserve">%. </w:t>
      </w:r>
    </w:p>
    <w:p w:rsidR="00202530" w:rsidRPr="00202530" w:rsidRDefault="00202530" w:rsidP="00202530">
      <w:pPr>
        <w:spacing w:after="120"/>
        <w:jc w:val="both"/>
        <w:rPr>
          <w:rFonts w:ascii="Calibri" w:eastAsia="Calibri" w:hAnsi="Calibri" w:cs="Calibri"/>
          <w:rtl/>
        </w:rPr>
      </w:pPr>
      <w:r w:rsidRPr="00202530">
        <w:rPr>
          <w:rFonts w:ascii="Calibri" w:eastAsia="Calibri" w:hAnsi="Calibri" w:cs="Calibri"/>
          <w:rtl/>
        </w:rPr>
        <w:t xml:space="preserve">התחזית גובשה תחת ההנחה שההשפעה הכלכלית הישירה של המלחמה תימשך עד סוף הרבעון הראשון של 2025. הנחה זו מגלמת רמת עצימות מתונה של הלחימה גם בתחילת 2025. הסיכון כלפי מטה לתחזית הצמיחה הצטמצם לנוכח ההתפתחויות </w:t>
      </w:r>
      <w:proofErr w:type="spellStart"/>
      <w:r w:rsidRPr="00202530">
        <w:rPr>
          <w:rFonts w:ascii="Calibri" w:eastAsia="Calibri" w:hAnsi="Calibri" w:cs="Calibri"/>
          <w:rtl/>
        </w:rPr>
        <w:t>הגיאו</w:t>
      </w:r>
      <w:proofErr w:type="spellEnd"/>
      <w:r w:rsidRPr="00202530">
        <w:rPr>
          <w:rFonts w:ascii="Calibri" w:eastAsia="Calibri" w:hAnsi="Calibri" w:cs="Calibri"/>
          <w:rtl/>
        </w:rPr>
        <w:t>-פוליטיות ברבעון האחרון ובפרט הרגיעה היחסית בחזית לבנון, כך שההסתברות שאנו מייחסים לתרחישים ביטחוניים בעלי השלכות כלכליות חמורות יותר, פחתה. עם זאת, סיכון זה עדיין מצוי ברמה גבוהה מאוד ביחס לרגיל. לפיכך, רמת אי הודאות סביב תחזיות הצמיחה, האינפלציה, הריבית וגירעון הממשלה עדיין גבוהה.</w:t>
      </w:r>
    </w:p>
    <w:p w:rsidR="00202530" w:rsidRPr="00202530" w:rsidRDefault="00202530" w:rsidP="00202530">
      <w:pPr>
        <w:pStyle w:val="11"/>
        <w:rPr>
          <w:rFonts w:ascii="Calibri" w:hAnsi="Calibri" w:cs="Calibri"/>
          <w:rtl/>
        </w:rPr>
      </w:pPr>
      <w:r w:rsidRPr="00202530">
        <w:rPr>
          <w:rFonts w:ascii="Calibri" w:hAnsi="Calibri" w:cs="Calibri"/>
          <w:rtl/>
        </w:rPr>
        <w:t>התחזית</w:t>
      </w:r>
    </w:p>
    <w:p w:rsidR="00202530" w:rsidRPr="00202530" w:rsidRDefault="00202530" w:rsidP="00202530">
      <w:pPr>
        <w:spacing w:after="120"/>
        <w:jc w:val="both"/>
        <w:rPr>
          <w:rFonts w:ascii="Calibri" w:eastAsia="Calibri" w:hAnsi="Calibri" w:cs="Calibri"/>
        </w:rPr>
      </w:pPr>
      <w:r w:rsidRPr="00202530">
        <w:rPr>
          <w:rFonts w:ascii="Calibri" w:eastAsia="Calibri" w:hAnsi="Calibri" w:cs="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202530">
        <w:rPr>
          <w:rFonts w:ascii="Calibri" w:eastAsia="Calibri" w:hAnsi="Calibri" w:cs="Calibri"/>
        </w:rPr>
        <w:t>DSGE (Dynamic Stochastic General Equilibrium)</w:t>
      </w:r>
      <w:r w:rsidRPr="00202530">
        <w:rPr>
          <w:rFonts w:ascii="Calibri" w:eastAsia="Calibri" w:hAnsi="Calibri" w:cs="Calibri"/>
          <w:rtl/>
        </w:rPr>
        <w:t xml:space="preserve"> שפותח בחטיבת המחקר – מודל מבני שמבוסס על יסודות מיקרו-כלכליים.</w:t>
      </w:r>
      <w:r w:rsidRPr="00202530">
        <w:rPr>
          <w:rFonts w:ascii="Calibri" w:eastAsia="Calibri" w:hAnsi="Calibri" w:cs="Calibri"/>
          <w:vertAlign w:val="superscript"/>
          <w:rtl/>
        </w:rPr>
        <w:footnoteReference w:id="2"/>
      </w:r>
      <w:r w:rsidRPr="00202530">
        <w:rPr>
          <w:rFonts w:ascii="Calibri" w:eastAsia="Calibri" w:hAnsi="Calibri" w:cs="Calibri"/>
          <w:rtl/>
        </w:rPr>
        <w:t xml:space="preserve"> 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 </w:t>
      </w:r>
    </w:p>
    <w:p w:rsidR="00202530" w:rsidRPr="00202530" w:rsidRDefault="00202530" w:rsidP="00202530">
      <w:pPr>
        <w:pStyle w:val="a"/>
        <w:rPr>
          <w:rFonts w:ascii="Calibri" w:hAnsi="Calibri" w:cs="Calibri"/>
          <w:sz w:val="24"/>
          <w:rtl/>
        </w:rPr>
      </w:pPr>
      <w:r w:rsidRPr="00202530">
        <w:rPr>
          <w:rFonts w:ascii="Calibri" w:hAnsi="Calibri" w:cs="Calibri"/>
          <w:sz w:val="24"/>
          <w:rtl/>
        </w:rPr>
        <w:t>הסביבה העולמית</w:t>
      </w:r>
    </w:p>
    <w:p w:rsidR="00202530" w:rsidRPr="00202530" w:rsidRDefault="00202530" w:rsidP="00202530">
      <w:pPr>
        <w:spacing w:after="120"/>
        <w:jc w:val="both"/>
        <w:rPr>
          <w:rFonts w:ascii="Calibri" w:eastAsia="Calibri" w:hAnsi="Calibri" w:cs="Calibri"/>
        </w:rPr>
      </w:pPr>
      <w:r w:rsidRPr="00202530">
        <w:rPr>
          <w:rFonts w:ascii="Calibri" w:eastAsia="Calibri" w:hAnsi="Calibri" w:cs="Calibri"/>
          <w:rtl/>
        </w:rPr>
        <w:t xml:space="preserve">הערכותינו לגבי ההתפתחויות בסביבה העולמית מתבססות בעיקרן על התחזיות שמגבשים מוסדות בין-לאומיים ובתי השקעות זרים. בהשוואה לתחזיות ששימשו בתחזית שפורסמה באוקטובר, התחזיות לצמיחה ולריבית במדינות המפותחות נותרו דומות והתחזית לאינפלציה הצפויה במדינות המפותחות עלתה מעט. בהתאם, אנו מניחים כי התוצר במשקים המפותחים יצמח בשיעורים של 1.5% ו-1.6% בשנים 2025 ו-2026, בהתאמה. התחזיות של בתי ההשקעות לאינפלציה במשקים המפותחים לשנת 2025 עודכנו מעט כלפי מעלה ל-2.3% (לעומת 2.1% בתחזית אוקטובר), ועבור שנת 2026 התחזית היא 2.2%. התחזית של בתי ההשקעות לריבית הממוצעת במדינות המפותחות נותרה דומה, והיא עומדת על 2.9% בסוף 2025 ועל 2.8% בסוף 2026. באשר לסחר העולמי, אנו מניחים כי הוא יצמח ב-2.4% ו-2.6% בשנים 2025 ו-2026 (בהשוואה ל-3.4% ב-2025 בתחזית </w:t>
      </w:r>
      <w:r w:rsidRPr="00202530">
        <w:rPr>
          <w:rFonts w:ascii="Calibri" w:eastAsia="Calibri" w:hAnsi="Calibri" w:cs="Calibri"/>
          <w:rtl/>
        </w:rPr>
        <w:lastRenderedPageBreak/>
        <w:t>אוקטובר). מחירה של חבית נפט מסוג "ברנט" אופיין ביציבות יחסית וירד לרמה של כ-$74, לעומת כ-$77 בעת עריכת תחזית אוקטובר.</w:t>
      </w:r>
      <w:r w:rsidRPr="00202530">
        <w:rPr>
          <w:rFonts w:ascii="Calibri" w:eastAsia="Calibri" w:hAnsi="Calibri" w:cs="Calibri"/>
        </w:rPr>
        <w:t xml:space="preserve"> </w:t>
      </w:r>
    </w:p>
    <w:p w:rsidR="00202530" w:rsidRPr="00202530" w:rsidRDefault="00202530" w:rsidP="00202530">
      <w:pPr>
        <w:pStyle w:val="a"/>
        <w:rPr>
          <w:rFonts w:ascii="Calibri" w:hAnsi="Calibri" w:cs="Calibri"/>
          <w:sz w:val="24"/>
          <w:rtl/>
        </w:rPr>
      </w:pPr>
      <w:r w:rsidRPr="00202530">
        <w:rPr>
          <w:rFonts w:ascii="Calibri" w:hAnsi="Calibri" w:cs="Calibri"/>
          <w:sz w:val="24"/>
          <w:rtl/>
        </w:rPr>
        <w:t>הפעילות הריאלית בישראל</w:t>
      </w:r>
    </w:p>
    <w:p w:rsidR="00202530" w:rsidRPr="00202530" w:rsidRDefault="00202530" w:rsidP="00202530">
      <w:pPr>
        <w:ind w:left="8"/>
        <w:jc w:val="both"/>
        <w:rPr>
          <w:rFonts w:ascii="Calibri" w:hAnsi="Calibri" w:cs="Calibri"/>
          <w:rtl/>
        </w:rPr>
      </w:pPr>
      <w:r w:rsidRPr="00202530">
        <w:rPr>
          <w:rFonts w:ascii="Calibri" w:hAnsi="Calibri" w:cs="Calibri"/>
          <w:b/>
          <w:bCs/>
          <w:rtl/>
        </w:rPr>
        <w:t xml:space="preserve">התוצר צמח להערכתנו ב-0.6% בשנת 2024 והוא צפוי לצמוח ב-4.0% בשנת 2025 </w:t>
      </w:r>
      <w:r w:rsidRPr="00202530">
        <w:rPr>
          <w:rFonts w:ascii="Calibri" w:hAnsi="Calibri" w:cs="Calibri"/>
          <w:rtl/>
        </w:rPr>
        <w:t xml:space="preserve">מעט גבוה ביחס להערכתנו באוקטובר (לוח 1). </w:t>
      </w:r>
      <w:r w:rsidRPr="00202530">
        <w:rPr>
          <w:rFonts w:ascii="Calibri" w:hAnsi="Calibri" w:cs="Calibri"/>
          <w:b/>
          <w:bCs/>
          <w:rtl/>
        </w:rPr>
        <w:t xml:space="preserve">בשנת 2026 התוצר צפוי לצמוח ב-4.5%. </w:t>
      </w:r>
      <w:r w:rsidRPr="00202530">
        <w:rPr>
          <w:rFonts w:ascii="Calibri" w:hAnsi="Calibri" w:cs="Calibri"/>
          <w:rtl/>
        </w:rPr>
        <w:t xml:space="preserve">התחזית מבוססת על ההנחה שההשפעה הכלכלית הישירה של המלחמה תימשך עד סוף הרבעון הראשון של 2025 ולאחר מכן יתכנס התוצר בהדרגה אל מגמתו אך יישאר מתחת לה בשנים הקרובות. אנו מניחים כי במהלך תקופת התחזית המגבלות הקיימות בצד ההיצע ידעכו בהדרגה, אולם במקביל </w:t>
      </w:r>
      <w:proofErr w:type="spellStart"/>
      <w:r w:rsidRPr="00202530">
        <w:rPr>
          <w:rFonts w:ascii="Calibri" w:hAnsi="Calibri" w:cs="Calibri"/>
          <w:rtl/>
        </w:rPr>
        <w:t>הביקושים</w:t>
      </w:r>
      <w:proofErr w:type="spellEnd"/>
      <w:r w:rsidRPr="00202530">
        <w:rPr>
          <w:rFonts w:ascii="Calibri" w:hAnsi="Calibri" w:cs="Calibri"/>
          <w:rtl/>
        </w:rPr>
        <w:t xml:space="preserve"> המקומיים יתאוששו בקצב מעט מהיר יותר. אנו מעריכים שהצמיחה ב-2024 הייתה גבוהה ב-0.1 נקודת אחוז מהתחזית שפורסמה באוקטובר. אמנם, הלחימה העצימה בצפון ברבעון הרביעי התארכה מעבר להערכתנו באוקטובר ותרמה לרמת פעילות נמוכה יותר. אולם, ביחס להערכתנו באוקטובר, המצב </w:t>
      </w:r>
      <w:proofErr w:type="spellStart"/>
      <w:r w:rsidRPr="00202530">
        <w:rPr>
          <w:rFonts w:ascii="Calibri" w:hAnsi="Calibri" w:cs="Calibri"/>
          <w:rtl/>
        </w:rPr>
        <w:t>הגיאו</w:t>
      </w:r>
      <w:proofErr w:type="spellEnd"/>
      <w:r w:rsidRPr="00202530">
        <w:rPr>
          <w:rFonts w:ascii="Calibri" w:hAnsi="Calibri" w:cs="Calibri"/>
          <w:rtl/>
        </w:rPr>
        <w:t xml:space="preserve">-פוליטי שהתהווה לאחר הפסקת האש, וכן הקדמת רכישות כלי רכב בשל העלאת שיעורי המיסוי בתחילת 2025, תרמו להגדלת הצמיחה ב-2024. </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קצב צמיחת התוצר ב-2025 עודכן אף הוא כלפי מעלה, ב-0.2 נקודת אחוז, ביחס להערכתנו בתחזית אוקטובר. העלאה זו משקפת מחד את הירידה בעצימות הלחימה בצפון בד בבד עם השיפור במצב </w:t>
      </w:r>
      <w:proofErr w:type="spellStart"/>
      <w:r w:rsidRPr="00202530">
        <w:rPr>
          <w:rFonts w:ascii="Calibri" w:hAnsi="Calibri" w:cs="Calibri"/>
          <w:rtl/>
        </w:rPr>
        <w:t>הגיאו</w:t>
      </w:r>
      <w:proofErr w:type="spellEnd"/>
      <w:r w:rsidRPr="00202530">
        <w:rPr>
          <w:rFonts w:ascii="Calibri" w:hAnsi="Calibri" w:cs="Calibri"/>
          <w:rtl/>
        </w:rPr>
        <w:t xml:space="preserve">-פוליטי ביחס להערכתנו באוקטובר, ואת הערכתנו כי הצריכה הציבורית תהיה גבוהה יותר בהתאם להצעת תקציב המדינה. לעומת זאת, ההשקעה בנכסים קבועים תצמח לאט יותר ב-2025 בשל הימשכות המחסור בעובדים בענף הבניה. בנוסף, הצריכה הפרטית תושפע לטובה מהתפתחויות </w:t>
      </w:r>
      <w:proofErr w:type="spellStart"/>
      <w:r w:rsidRPr="00202530">
        <w:rPr>
          <w:rFonts w:ascii="Calibri" w:hAnsi="Calibri" w:cs="Calibri"/>
          <w:rtl/>
        </w:rPr>
        <w:t>הגיאו</w:t>
      </w:r>
      <w:proofErr w:type="spellEnd"/>
      <w:r w:rsidRPr="00202530">
        <w:rPr>
          <w:rFonts w:ascii="Calibri" w:hAnsi="Calibri" w:cs="Calibri"/>
          <w:rtl/>
        </w:rPr>
        <w:t xml:space="preserve">-פוליטיות והיצוא יושפע </w:t>
      </w:r>
      <w:proofErr w:type="spellStart"/>
      <w:r w:rsidRPr="00202530">
        <w:rPr>
          <w:rFonts w:ascii="Calibri" w:hAnsi="Calibri" w:cs="Calibri"/>
          <w:rtl/>
        </w:rPr>
        <w:t>מהביקושים</w:t>
      </w:r>
      <w:proofErr w:type="spellEnd"/>
      <w:r w:rsidRPr="00202530">
        <w:rPr>
          <w:rFonts w:ascii="Calibri" w:hAnsi="Calibri" w:cs="Calibri"/>
          <w:rtl/>
        </w:rPr>
        <w:t xml:space="preserve"> ליצוא בטחוני. תחזית הצמיחה לתוצר ב-2026 משקפת את המשך התאוששות המשק מהשפעות המלחמה. אנו מעריכים כי המחסור בעובדים בענף הבינוי ייפתר רק במהלך 2026 ובהתאם אנו מצפים להאצה של ההשקעה החל משנה זו. הצריכה הפרטית תוסיף להתכנס במתינות מלמטה אל קו המגמה והצריכה הציבורית תתכנס מלמעלה למגמה ארוכת הטווח שלה. להערכתנו, ב-2026 נראה התאוששות מלאה גם של ענף התיירות הנכנסת שצפוי לתרום לצמיחת הייצוא.</w:t>
      </w:r>
    </w:p>
    <w:p w:rsidR="00202530" w:rsidRPr="00202530" w:rsidRDefault="00202530" w:rsidP="00202530">
      <w:pPr>
        <w:spacing w:after="240"/>
        <w:ind w:left="6"/>
        <w:jc w:val="both"/>
        <w:rPr>
          <w:rFonts w:ascii="Calibri" w:hAnsi="Calibri" w:cs="Calibri"/>
          <w:rtl/>
        </w:rPr>
      </w:pPr>
      <w:r w:rsidRPr="00202530">
        <w:rPr>
          <w:rFonts w:ascii="Calibri" w:hAnsi="Calibri" w:cs="Calibri"/>
          <w:rtl/>
        </w:rPr>
        <w:t>אנו מניחים כי צמצום מספר המשרתים במילואים ב-2025 יקל את מגבלות ההיצע בשוק העבודה ויתמוך בהתאוששות היקף התעסוקה. שיעור האבטלה בתקופת התחזית צפוי להישאר נמוך ויעמוד להערכתנו על 3.1% ב-2025 ו-2026 בממוצע.</w:t>
      </w:r>
    </w:p>
    <w:p w:rsidR="00202530" w:rsidRPr="00202530" w:rsidRDefault="00202530" w:rsidP="00202530">
      <w:pPr>
        <w:ind w:left="8"/>
        <w:jc w:val="both"/>
        <w:rPr>
          <w:rFonts w:ascii="Calibri" w:hAnsi="Calibri" w:cs="Calibri"/>
          <w:highlight w:val="red"/>
        </w:rPr>
      </w:pPr>
      <w:r w:rsidRPr="00202530">
        <w:rPr>
          <w:rFonts w:ascii="Calibri" w:hAnsi="Calibri" w:cs="Calibri"/>
          <w:b/>
          <w:bCs/>
          <w:rtl/>
        </w:rPr>
        <w:t xml:space="preserve">אומדן הגרעון התקציבי בשנת 2024 עומד על כ-7% תוצר בשל הפתעה חיובית בהכנסות ממסים ברבעון האחרון של השנה, בין היתר בשל הקדמת רכישות כלי רכב, וביצוע מעט נמוך של ההוצאות. יעד הגרעון לשנת 2025 בהצעת התקציב הנוכחית עומד על 4.4 אחוז תוצר, אך אנו מעריכים כי הגרעון בפועל יסתכם ב-4.7 אחוזי תוצר לאור השינויים שחלו בצעדי ההתאמה מאז החלטת הממשלה והערכותינו לגבי התוספות שיתנו לתקציב הביטחון במסגרת ועדת </w:t>
      </w:r>
      <w:proofErr w:type="spellStart"/>
      <w:r w:rsidRPr="00202530">
        <w:rPr>
          <w:rFonts w:ascii="Calibri" w:hAnsi="Calibri" w:cs="Calibri"/>
          <w:b/>
          <w:bCs/>
          <w:rtl/>
        </w:rPr>
        <w:t>נגל</w:t>
      </w:r>
      <w:proofErr w:type="spellEnd"/>
      <w:r w:rsidRPr="00202530">
        <w:rPr>
          <w:rFonts w:ascii="Calibri" w:hAnsi="Calibri" w:cs="Calibri"/>
          <w:b/>
          <w:bCs/>
          <w:rtl/>
        </w:rPr>
        <w:t>. ב-2026 הגירעון צפוי לעמוד על 3.2 אחוזי תוצר. החוב הציבורי צפוי לעלות לרמה של כ-67% תוצר ב-2024 ולכ-69% תוצר ב-2025 ולרדת חזרה לכ-67% תוצר ב-2026.</w:t>
      </w:r>
      <w:r w:rsidRPr="00202530">
        <w:rPr>
          <w:rFonts w:ascii="Calibri" w:hAnsi="Calibri" w:cs="Calibri"/>
          <w:rtl/>
        </w:rPr>
        <w:t xml:space="preserve"> מאז תחזית אוקטובר אישרה הממשלה את הצעת התקציב והתכנית הכלכלית לשנת 2025 והוא עבר לאישור הכנסת. התחזית הנוכחית מגלמת את הצעת התקציב ל-2025 שאושרה בממשלה ואת השינויים שהוכנסו במהלך החקיקה בכנסת. ביחס להערכתנו באוקטובר ההוצאות האזרחיות ב-2025 יהיו גבוהות יותר ואילו ההוצאות הביטחוניות נמוכות יותר. ירידת הגרעון בשנת 2026 משקפת בעיקרה ירידה בנטל ההוצאה הביטחונית עם סיום הוצאות המלחמה הזמניות שנדרשות ב-2025 על מנת לשקם מלאים ולהחזיר את הצבא לכשירות בה היה ערב המלחמה, לצד גידול בבסיס תקציב הביטחון המקורי לצורך תכנית בניין </w:t>
      </w:r>
      <w:proofErr w:type="spellStart"/>
      <w:r w:rsidRPr="00202530">
        <w:rPr>
          <w:rFonts w:ascii="Calibri" w:hAnsi="Calibri" w:cs="Calibri"/>
          <w:rtl/>
        </w:rPr>
        <w:t>הכח</w:t>
      </w:r>
      <w:proofErr w:type="spellEnd"/>
      <w:r w:rsidRPr="00202530">
        <w:rPr>
          <w:rFonts w:ascii="Calibri" w:hAnsi="Calibri" w:cs="Calibri"/>
          <w:rtl/>
        </w:rPr>
        <w:t xml:space="preserve"> החדשה. במקביל, אנו מעריכים כי נטל תשלומי הריבית יוסיף לעלות וכי ההוצאה האזרחית במונחי תוצר תישאר בסביבה דומה לזו של 2025. לפיכך, ללא התאמות נוספות, הגירעון צפוי להתכנס אל רמה מבנית שתותיר בשנים הקרובות את יחס החוב לתוצר בסביבה הגבוהה אליה יגיע בשנת 2026. </w:t>
      </w:r>
    </w:p>
    <w:p w:rsidR="00202530" w:rsidRPr="00202530" w:rsidRDefault="00202530" w:rsidP="00202530">
      <w:pPr>
        <w:keepNext/>
        <w:keepLines/>
        <w:spacing w:line="240" w:lineRule="auto"/>
        <w:ind w:firstLine="40"/>
        <w:jc w:val="center"/>
        <w:outlineLvl w:val="1"/>
        <w:rPr>
          <w:rFonts w:ascii="Calibri" w:eastAsia="Calibri" w:hAnsi="Calibri" w:cs="Calibri"/>
          <w:b/>
          <w:bCs/>
          <w:color w:val="4F81BD"/>
          <w:rtl/>
        </w:rPr>
      </w:pPr>
      <w:r w:rsidRPr="00202530">
        <w:rPr>
          <w:rFonts w:ascii="Calibri" w:eastAsia="Calibri" w:hAnsi="Calibri" w:cs="Calibri"/>
          <w:b/>
          <w:bCs/>
          <w:color w:val="4F81BD"/>
          <w:rtl/>
        </w:rPr>
        <w:lastRenderedPageBreak/>
        <w:t>לוח 1</w:t>
      </w:r>
      <w:r w:rsidRPr="00202530">
        <w:rPr>
          <w:rFonts w:ascii="Calibri" w:eastAsia="Calibri" w:hAnsi="Calibri" w:cs="Calibri"/>
          <w:b/>
          <w:bCs/>
          <w:color w:val="4F81BD"/>
          <w:rtl/>
        </w:rPr>
        <w:br/>
        <w:t xml:space="preserve"> תחזית חטיבת המחקר ל-2024—2025</w:t>
      </w:r>
    </w:p>
    <w:p w:rsidR="00202530" w:rsidRPr="00202530" w:rsidRDefault="00202530" w:rsidP="00202530">
      <w:pPr>
        <w:keepNext/>
        <w:keepLines/>
        <w:spacing w:line="240" w:lineRule="auto"/>
        <w:ind w:firstLine="40"/>
        <w:jc w:val="center"/>
        <w:rPr>
          <w:rFonts w:ascii="Calibri" w:eastAsia="Calibri" w:hAnsi="Calibri" w:cs="Calibri"/>
          <w:color w:val="4F81BD"/>
          <w:rtl/>
        </w:rPr>
      </w:pPr>
      <w:r w:rsidRPr="00202530">
        <w:rPr>
          <w:rFonts w:ascii="Calibri" w:eastAsia="Calibri" w:hAnsi="Calibri" w:cs="Calibri"/>
          <w:color w:val="4F81BD"/>
          <w:rtl/>
        </w:rPr>
        <w:t xml:space="preserve"> (שיעורי השינוי באחוזים</w:t>
      </w:r>
      <w:r w:rsidRPr="00202530">
        <w:rPr>
          <w:rFonts w:ascii="Calibri" w:eastAsia="Calibri" w:hAnsi="Calibri" w:cs="Calibri"/>
          <w:b/>
          <w:bCs/>
          <w:color w:val="4F81BD"/>
          <w:vertAlign w:val="superscript"/>
          <w:rtl/>
        </w:rPr>
        <w:t>1</w:t>
      </w:r>
      <w:r w:rsidRPr="00202530">
        <w:rPr>
          <w:rFonts w:ascii="Calibri" w:eastAsia="Calibri" w:hAnsi="Calibri" w:cs="Calibri"/>
          <w:color w:val="4F81BD"/>
          <w:rtl/>
        </w:rPr>
        <w:t>, אלא אם צוין אחרת)</w:t>
      </w:r>
    </w:p>
    <w:tbl>
      <w:tblPr>
        <w:bidiVisual/>
        <w:tblW w:w="4865" w:type="pct"/>
        <w:jc w:val="center"/>
        <w:tblCellMar>
          <w:left w:w="0" w:type="dxa"/>
          <w:right w:w="0" w:type="dxa"/>
        </w:tblCellMar>
        <w:tblLook w:val="04A0" w:firstRow="1" w:lastRow="0" w:firstColumn="1" w:lastColumn="0" w:noHBand="0" w:noVBand="1"/>
      </w:tblPr>
      <w:tblGrid>
        <w:gridCol w:w="4587"/>
        <w:gridCol w:w="578"/>
        <w:gridCol w:w="38"/>
        <w:gridCol w:w="793"/>
        <w:gridCol w:w="886"/>
        <w:gridCol w:w="91"/>
        <w:gridCol w:w="793"/>
        <w:gridCol w:w="886"/>
        <w:gridCol w:w="38"/>
        <w:gridCol w:w="793"/>
      </w:tblGrid>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02530" w:rsidRPr="00202530" w:rsidRDefault="00202530" w:rsidP="00CF4BDA">
            <w:pPr>
              <w:bidi w:val="0"/>
              <w:spacing w:line="240" w:lineRule="auto"/>
              <w:rPr>
                <w:rFonts w:ascii="Calibri" w:eastAsia="Times New Roman" w:hAnsi="Calibri" w:cs="Calibri"/>
              </w:rPr>
            </w:pPr>
          </w:p>
        </w:tc>
        <w:tc>
          <w:tcPr>
            <w:tcW w:w="305"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b/>
                <w:bCs/>
                <w:color w:val="000000"/>
                <w:kern w:val="24"/>
                <w:rtl/>
              </w:rPr>
              <w:t>2023</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885"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eastAsia="Calibri" w:hAnsi="Calibri" w:cs="Calibri"/>
                <w:b/>
                <w:bCs/>
                <w:color w:val="000000"/>
                <w:kern w:val="24"/>
              </w:rPr>
              <w:t>2024</w:t>
            </w:r>
          </w:p>
        </w:tc>
        <w:tc>
          <w:tcPr>
            <w:tcW w:w="4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885"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b/>
                <w:bCs/>
                <w:color w:val="000000"/>
                <w:kern w:val="24"/>
                <w:rtl/>
              </w:rPr>
              <w:t>2025</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b/>
                <w:bCs/>
              </w:rPr>
            </w:pPr>
            <w:r w:rsidRPr="00202530">
              <w:rPr>
                <w:rFonts w:ascii="Calibri" w:eastAsia="Calibri" w:hAnsi="Calibri" w:cs="Calibri"/>
                <w:b/>
                <w:bCs/>
                <w:color w:val="000000"/>
                <w:kern w:val="24"/>
              </w:rPr>
              <w:t>2026</w:t>
            </w:r>
          </w:p>
        </w:tc>
      </w:tr>
      <w:tr w:rsidR="00202530" w:rsidRPr="00202530" w:rsidTr="00CF4BDA">
        <w:trPr>
          <w:trHeight w:val="340"/>
          <w:jc w:val="center"/>
        </w:trPr>
        <w:tc>
          <w:tcPr>
            <w:tcW w:w="2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both"/>
              <w:rPr>
                <w:rFonts w:ascii="Calibri" w:eastAsia="Times New Roman" w:hAnsi="Calibri" w:cs="Calibri"/>
              </w:rPr>
            </w:pPr>
            <w:r w:rsidRPr="00202530">
              <w:rPr>
                <w:rFonts w:ascii="Calibri" w:eastAsia="Calibri" w:hAnsi="Calibri" w:cs="Calibri"/>
                <w:color w:val="000000"/>
                <w:kern w:val="24"/>
              </w:rPr>
              <w:t> </w:t>
            </w:r>
          </w:p>
        </w:tc>
        <w:tc>
          <w:tcPr>
            <w:tcW w:w="305"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000000"/>
                <w:kern w:val="24"/>
                <w:rtl/>
              </w:rPr>
              <w:t>בפועל</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ל-2024</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4F81BD"/>
                <w:kern w:val="24"/>
                <w:rtl/>
              </w:rPr>
              <w:t>השינוי מתחזית אוקטובר</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ל-2025</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Calibri" w:hAnsi="Calibri" w:cs="Calibri"/>
                <w:color w:val="4F81BD"/>
                <w:kern w:val="24"/>
                <w:rtl/>
              </w:rPr>
              <w:t>השינוי מתחזית אוקטובר</w:t>
            </w:r>
          </w:p>
        </w:tc>
        <w:tc>
          <w:tcPr>
            <w:tcW w:w="2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Pr>
            </w:pPr>
            <w:r w:rsidRPr="00202530">
              <w:rPr>
                <w:rFonts w:ascii="Calibri" w:eastAsia="Calibri" w:hAnsi="Calibri" w:cs="Calibri"/>
                <w:color w:val="000000"/>
                <w:kern w:val="24"/>
                <w:rtl/>
              </w:rPr>
              <w:t xml:space="preserve">התחזית </w:t>
            </w:r>
            <w:r w:rsidRPr="00202530">
              <w:rPr>
                <w:rFonts w:ascii="Calibri" w:eastAsia="Calibri" w:hAnsi="Calibri" w:cs="Calibri"/>
                <w:color w:val="000000"/>
                <w:kern w:val="24"/>
              </w:rPr>
              <w:br/>
            </w:r>
            <w:r w:rsidRPr="00202530">
              <w:rPr>
                <w:rFonts w:ascii="Calibri" w:eastAsia="Calibri" w:hAnsi="Calibri" w:cs="Calibri"/>
                <w:color w:val="000000"/>
                <w:kern w:val="24"/>
                <w:rtl/>
              </w:rPr>
              <w:t>ל-2026</w:t>
            </w:r>
          </w:p>
        </w:tc>
      </w:tr>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תוצר מקומי גולמי</w:t>
            </w:r>
          </w:p>
        </w:tc>
        <w:tc>
          <w:tcPr>
            <w:tcW w:w="305"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hAnsi="Calibri" w:cs="Calibri"/>
                <w:color w:val="000000"/>
                <w:kern w:val="24"/>
              </w:rPr>
              <w:t>2.0</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0.6</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0.1</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4.0</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2</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4.</w:t>
            </w:r>
            <w:r w:rsidRPr="00202530">
              <w:rPr>
                <w:rFonts w:ascii="Calibri" w:hAnsi="Calibri" w:cs="Calibri"/>
                <w:b/>
                <w:bCs/>
                <w:color w:val="000000"/>
                <w:kern w:val="24"/>
                <w:rtl/>
              </w:rPr>
              <w:t>5</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צריכה פרטית</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themeColor="text1"/>
                <w:kern w:val="24"/>
              </w:rPr>
              <w:t>-0.9</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4.0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7.5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5.5</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השקעה בנכסים קבועים (ללא </w:t>
            </w:r>
            <w:proofErr w:type="spellStart"/>
            <w:r w:rsidRPr="00202530">
              <w:rPr>
                <w:rFonts w:ascii="Calibri" w:eastAsia="Calibri" w:hAnsi="Calibri" w:cs="Calibri"/>
                <w:color w:val="000000"/>
                <w:kern w:val="24"/>
                <w:rtl/>
              </w:rPr>
              <w:t>אוניות</w:t>
            </w:r>
            <w:proofErr w:type="spellEnd"/>
            <w:r w:rsidRPr="00202530">
              <w:rPr>
                <w:rFonts w:ascii="Calibri" w:eastAsia="Calibri" w:hAnsi="Calibri" w:cs="Calibri"/>
                <w:color w:val="000000"/>
                <w:kern w:val="24"/>
                <w:rtl/>
              </w:rPr>
              <w:t xml:space="preserve"> ומטוסים)</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-2.0</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w:t>
            </w:r>
            <w:r w:rsidRPr="00202530">
              <w:rPr>
                <w:rFonts w:ascii="Calibri" w:hAnsi="Calibri" w:cs="Calibri"/>
                <w:b/>
                <w:bCs/>
                <w:color w:val="000000"/>
                <w:kern w:val="24"/>
                <w:rtl/>
              </w:rPr>
              <w:t>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2.5</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8.0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-4.0</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15.0</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צריכה ציבורית (ללא יבוא ביטחוני)</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hAnsi="Calibri" w:cs="Calibri"/>
                <w:color w:val="000000"/>
                <w:kern w:val="24"/>
              </w:rPr>
              <w:t>7.2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12.0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2.5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2.0</w:t>
            </w:r>
          </w:p>
        </w:tc>
      </w:tr>
      <w:tr w:rsidR="00202530" w:rsidRPr="00202530" w:rsidTr="00CF4BDA">
        <w:trPr>
          <w:trHeight w:val="340"/>
          <w:jc w:val="center"/>
        </w:trPr>
        <w:tc>
          <w:tcPr>
            <w:tcW w:w="2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יצוא (ללא יהלומים והזנק)</w:t>
            </w:r>
          </w:p>
        </w:tc>
        <w:tc>
          <w:tcPr>
            <w:tcW w:w="305" w:type="pct"/>
            <w:tcBorders>
              <w:top w:val="nil"/>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themeColor="text1"/>
                <w:kern w:val="24"/>
              </w:rPr>
              <w:t>-0.2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w:t>
            </w:r>
            <w:r w:rsidRPr="00202530">
              <w:rPr>
                <w:rFonts w:ascii="Calibri" w:hAnsi="Calibri" w:cs="Calibri"/>
                <w:b/>
                <w:bCs/>
                <w:color w:val="000000"/>
                <w:kern w:val="24"/>
                <w:rtl/>
              </w:rPr>
              <w:t>5.0</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4.</w:t>
            </w:r>
            <w:r w:rsidRPr="00202530">
              <w:rPr>
                <w:rFonts w:ascii="Calibri" w:hAnsi="Calibri" w:cs="Calibri"/>
                <w:b/>
                <w:bCs/>
                <w:color w:val="000000"/>
                <w:kern w:val="24"/>
                <w:rtl/>
              </w:rPr>
              <w:t>5</w:t>
            </w:r>
          </w:p>
        </w:tc>
        <w:tc>
          <w:tcPr>
            <w:tcW w:w="467"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5</w:t>
            </w:r>
          </w:p>
        </w:tc>
        <w:tc>
          <w:tcPr>
            <w:tcW w:w="20"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5.5</w:t>
            </w:r>
          </w:p>
        </w:tc>
      </w:tr>
      <w:tr w:rsidR="00202530" w:rsidRPr="00202530" w:rsidTr="00CF4BDA">
        <w:trPr>
          <w:trHeight w:val="340"/>
          <w:jc w:val="center"/>
        </w:trPr>
        <w:tc>
          <w:tcPr>
            <w:tcW w:w="2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יבוא אזרחי (ללא יהלומים, </w:t>
            </w:r>
            <w:proofErr w:type="spellStart"/>
            <w:r w:rsidRPr="00202530">
              <w:rPr>
                <w:rFonts w:ascii="Calibri" w:eastAsia="Calibri" w:hAnsi="Calibri" w:cs="Calibri"/>
                <w:color w:val="000000"/>
                <w:kern w:val="24"/>
                <w:rtl/>
              </w:rPr>
              <w:t>אוניות</w:t>
            </w:r>
            <w:proofErr w:type="spellEnd"/>
            <w:r w:rsidRPr="00202530">
              <w:rPr>
                <w:rFonts w:ascii="Calibri" w:eastAsia="Calibri" w:hAnsi="Calibri" w:cs="Calibri"/>
                <w:color w:val="000000"/>
                <w:kern w:val="24"/>
                <w:rtl/>
              </w:rPr>
              <w:t xml:space="preserve"> ומטוסים)</w:t>
            </w:r>
          </w:p>
        </w:tc>
        <w:tc>
          <w:tcPr>
            <w:tcW w:w="305"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kern w:val="24"/>
              </w:rPr>
              <w:t>-7.2</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w:t>
            </w:r>
            <w:r w:rsidRPr="00202530">
              <w:rPr>
                <w:rFonts w:ascii="Calibri" w:hAnsi="Calibri" w:cs="Calibri"/>
                <w:b/>
                <w:bCs/>
                <w:color w:val="000000"/>
                <w:kern w:val="24"/>
                <w:rtl/>
              </w:rPr>
              <w:t>0</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tl/>
              </w:rPr>
              <w:t>4.0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w:t>
            </w:r>
            <w:r w:rsidRPr="00202530">
              <w:rPr>
                <w:rFonts w:ascii="Calibri" w:hAnsi="Calibri" w:cs="Calibri"/>
                <w:b/>
                <w:bCs/>
                <w:color w:val="000000"/>
                <w:kern w:val="24"/>
                <w:rtl/>
              </w:rPr>
              <w:t>2</w:t>
            </w:r>
            <w:r w:rsidRPr="00202530">
              <w:rPr>
                <w:rFonts w:ascii="Calibri" w:hAnsi="Calibri" w:cs="Calibri"/>
                <w:b/>
                <w:bCs/>
                <w:color w:val="000000"/>
                <w:kern w:val="24"/>
              </w:rPr>
              <w:t>.0</w:t>
            </w:r>
          </w:p>
        </w:tc>
        <w:tc>
          <w:tcPr>
            <w:tcW w:w="46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0.5</w:t>
            </w:r>
          </w:p>
        </w:tc>
        <w:tc>
          <w:tcPr>
            <w:tcW w:w="20"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13.0</w:t>
            </w:r>
          </w:p>
        </w:tc>
      </w:tr>
      <w:tr w:rsidR="00202530" w:rsidRPr="00202530" w:rsidTr="00CF4BDA">
        <w:trPr>
          <w:trHeight w:val="340"/>
          <w:jc w:val="center"/>
        </w:trPr>
        <w:tc>
          <w:tcPr>
            <w:tcW w:w="2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Times New Roman" w:hAnsi="Calibri" w:cs="Calibri"/>
                <w:color w:val="000000"/>
                <w:kern w:val="24"/>
                <w:rtl/>
              </w:rPr>
              <w:t>שיעור האבטלה הרחב (גילי 25–64)</w:t>
            </w:r>
            <w:r w:rsidRPr="00202530">
              <w:rPr>
                <w:rFonts w:ascii="Calibri" w:eastAsia="Calibri" w:hAnsi="Calibri" w:cs="Calibri"/>
                <w:color w:val="000000"/>
                <w:kern w:val="24"/>
                <w:position w:val="8"/>
                <w:vertAlign w:val="superscript"/>
                <w:rtl/>
              </w:rPr>
              <w:t>2</w:t>
            </w:r>
          </w:p>
        </w:tc>
        <w:tc>
          <w:tcPr>
            <w:tcW w:w="305"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color w:val="000000"/>
                <w:kern w:val="24"/>
              </w:rPr>
              <w:t>4.4</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spacing w:line="240" w:lineRule="auto"/>
              <w:jc w:val="center"/>
              <w:rPr>
                <w:rFonts w:ascii="Calibri"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3.</w:t>
            </w:r>
            <w:r w:rsidRPr="00202530">
              <w:rPr>
                <w:rFonts w:ascii="Calibri" w:hAnsi="Calibri" w:cs="Calibri"/>
                <w:b/>
                <w:bCs/>
                <w:color w:val="000000"/>
                <w:kern w:val="24"/>
                <w:rtl/>
              </w:rPr>
              <w:t>5</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w:t>
            </w:r>
            <w:r w:rsidRPr="00202530">
              <w:rPr>
                <w:rFonts w:ascii="Calibri" w:eastAsia="Calibri" w:hAnsi="Calibri" w:cs="Calibri"/>
                <w:b/>
                <w:bCs/>
                <w:color w:val="4F81BD"/>
                <w:kern w:val="24"/>
                <w:rtl/>
              </w:rPr>
              <w:t>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3.</w:t>
            </w:r>
            <w:r w:rsidRPr="00202530">
              <w:rPr>
                <w:rFonts w:ascii="Calibri" w:hAnsi="Calibri" w:cs="Calibri"/>
                <w:b/>
                <w:bCs/>
                <w:color w:val="000000"/>
                <w:kern w:val="24"/>
                <w:rtl/>
              </w:rPr>
              <w:t>1</w:t>
            </w:r>
          </w:p>
        </w:tc>
        <w:tc>
          <w:tcPr>
            <w:tcW w:w="46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-0.1</w:t>
            </w:r>
          </w:p>
        </w:tc>
        <w:tc>
          <w:tcPr>
            <w:tcW w:w="20"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3.1</w:t>
            </w:r>
          </w:p>
        </w:tc>
      </w:tr>
      <w:tr w:rsidR="00202530" w:rsidRPr="00202530" w:rsidTr="00CF4BDA">
        <w:trPr>
          <w:trHeight w:val="340"/>
          <w:jc w:val="center"/>
        </w:trPr>
        <w:tc>
          <w:tcPr>
            <w:tcW w:w="2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 xml:space="preserve">שיעור התעסוקה המותאם </w:t>
            </w:r>
            <w:r w:rsidRPr="00202530">
              <w:rPr>
                <w:rFonts w:ascii="Calibri" w:eastAsia="Times New Roman" w:hAnsi="Calibri" w:cs="Calibri"/>
                <w:color w:val="000000"/>
                <w:kern w:val="24"/>
                <w:rtl/>
              </w:rPr>
              <w:t>(גילי 25–64)</w:t>
            </w:r>
            <w:r w:rsidRPr="00202530">
              <w:rPr>
                <w:rFonts w:ascii="Calibri" w:eastAsia="Calibri" w:hAnsi="Calibri" w:cs="Calibri"/>
                <w:color w:val="000000"/>
                <w:kern w:val="24"/>
                <w:position w:val="8"/>
                <w:vertAlign w:val="superscript"/>
                <w:rtl/>
              </w:rPr>
              <w:t>2</w:t>
            </w:r>
          </w:p>
        </w:tc>
        <w:tc>
          <w:tcPr>
            <w:tcW w:w="305" w:type="pct"/>
            <w:tcBorders>
              <w:top w:val="nil"/>
              <w:left w:val="nil"/>
              <w:bottom w:val="double" w:sz="4"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77.8</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77.9</w:t>
            </w:r>
          </w:p>
        </w:tc>
        <w:tc>
          <w:tcPr>
            <w:tcW w:w="467"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78.4</w:t>
            </w:r>
          </w:p>
        </w:tc>
        <w:tc>
          <w:tcPr>
            <w:tcW w:w="467"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0.1</w:t>
            </w:r>
          </w:p>
        </w:tc>
        <w:tc>
          <w:tcPr>
            <w:tcW w:w="20"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4"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78.7</w:t>
            </w:r>
          </w:p>
        </w:tc>
      </w:tr>
      <w:tr w:rsidR="00202530" w:rsidRPr="00202530" w:rsidTr="00CF4BDA">
        <w:trPr>
          <w:trHeight w:val="340"/>
          <w:jc w:val="center"/>
        </w:trPr>
        <w:tc>
          <w:tcPr>
            <w:tcW w:w="2418"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גירעון הממשלה (אחוזי תוצר)</w:t>
            </w:r>
          </w:p>
        </w:tc>
        <w:tc>
          <w:tcPr>
            <w:tcW w:w="305" w:type="pct"/>
            <w:tcBorders>
              <w:top w:val="double" w:sz="4" w:space="0" w:color="000000"/>
              <w:left w:val="nil"/>
              <w:bottom w:val="nil"/>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tl/>
              </w:rPr>
              <w:t>4.1</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4" w:space="0" w:color="000000"/>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7.0</w:t>
            </w:r>
          </w:p>
        </w:tc>
        <w:tc>
          <w:tcPr>
            <w:tcW w:w="467" w:type="pct"/>
            <w:tcBorders>
              <w:top w:val="double" w:sz="4" w:space="0" w:color="000000"/>
              <w:left w:val="single" w:sz="8" w:space="0" w:color="FFFFFF"/>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48" w:type="pct"/>
            <w:tcBorders>
              <w:top w:val="nil"/>
              <w:left w:val="nil"/>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double" w:sz="4" w:space="0" w:color="000000"/>
              <w:left w:val="single" w:sz="8" w:space="0" w:color="FFFFFF"/>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tl/>
              </w:rPr>
              <w:t>4.7</w:t>
            </w:r>
          </w:p>
        </w:tc>
        <w:tc>
          <w:tcPr>
            <w:tcW w:w="467"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20"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4" w:space="0" w:color="000000"/>
              <w:left w:val="single" w:sz="8" w:space="0" w:color="FFFFFF"/>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3.2</w:t>
            </w:r>
          </w:p>
        </w:tc>
      </w:tr>
      <w:tr w:rsidR="00202530" w:rsidRPr="00202530" w:rsidTr="00CF4BDA">
        <w:trPr>
          <w:trHeight w:val="340"/>
          <w:jc w:val="center"/>
        </w:trPr>
        <w:tc>
          <w:tcPr>
            <w:tcW w:w="2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יחס החוב לתוצר</w:t>
            </w:r>
          </w:p>
        </w:tc>
        <w:tc>
          <w:tcPr>
            <w:tcW w:w="305" w:type="pct"/>
            <w:tcBorders>
              <w:top w:val="nil"/>
              <w:left w:val="nil"/>
              <w:bottom w:val="double" w:sz="6"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61.4</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67</w:t>
            </w:r>
          </w:p>
        </w:tc>
        <w:tc>
          <w:tcPr>
            <w:tcW w:w="467"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Pr>
            </w:pPr>
            <w:r w:rsidRPr="00202530">
              <w:rPr>
                <w:rFonts w:ascii="Calibri" w:eastAsia="Calibri" w:hAnsi="Calibri" w:cs="Calibri"/>
                <w:b/>
                <w:bCs/>
                <w:color w:val="4F81BD"/>
                <w:kern w:val="24"/>
              </w:rPr>
              <w:t>-1.0</w:t>
            </w:r>
          </w:p>
        </w:tc>
        <w:tc>
          <w:tcPr>
            <w:tcW w:w="48" w:type="pct"/>
            <w:tcBorders>
              <w:top w:val="nil"/>
              <w:left w:val="nil"/>
              <w:bottom w:val="nil"/>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jc w:val="center"/>
              <w:rPr>
                <w:rFonts w:ascii="Calibri" w:eastAsia="Times New Roman" w:hAnsi="Calibri" w:cs="Calibri"/>
                <w:rtl/>
              </w:rPr>
            </w:pPr>
            <w:r w:rsidRPr="00202530">
              <w:rPr>
                <w:rFonts w:ascii="Calibri" w:eastAsia="Times New Roman" w:hAnsi="Calibri" w:cs="Calibri"/>
                <w:b/>
                <w:bCs/>
                <w:color w:val="000000"/>
                <w:kern w:val="24"/>
                <w:rtl/>
              </w:rPr>
              <w:t> </w:t>
            </w: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b/>
                <w:bCs/>
                <w:color w:val="000000"/>
                <w:kern w:val="24"/>
              </w:rPr>
              <w:t>69</w:t>
            </w:r>
          </w:p>
        </w:tc>
        <w:tc>
          <w:tcPr>
            <w:tcW w:w="467"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0.0</w:t>
            </w:r>
          </w:p>
        </w:tc>
        <w:tc>
          <w:tcPr>
            <w:tcW w:w="20"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67</w:t>
            </w:r>
          </w:p>
        </w:tc>
      </w:tr>
      <w:tr w:rsidR="00202530" w:rsidRPr="00202530" w:rsidTr="00CF4BDA">
        <w:trPr>
          <w:trHeight w:val="340"/>
          <w:jc w:val="center"/>
        </w:trPr>
        <w:tc>
          <w:tcPr>
            <w:tcW w:w="2418"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spacing w:line="240" w:lineRule="auto"/>
              <w:rPr>
                <w:rFonts w:ascii="Calibri" w:eastAsia="Times New Roman" w:hAnsi="Calibri" w:cs="Calibri"/>
                <w:rtl/>
              </w:rPr>
            </w:pPr>
            <w:r w:rsidRPr="00202530">
              <w:rPr>
                <w:rFonts w:ascii="Calibri" w:eastAsia="Calibri" w:hAnsi="Calibri" w:cs="Calibri"/>
                <w:color w:val="000000"/>
                <w:kern w:val="24"/>
                <w:rtl/>
              </w:rPr>
              <w:t>אינפלציה</w:t>
            </w:r>
            <w:r w:rsidRPr="00202530">
              <w:rPr>
                <w:rFonts w:ascii="Calibri" w:eastAsia="Calibri" w:hAnsi="Calibri" w:cs="Calibri"/>
                <w:color w:val="000000"/>
                <w:kern w:val="24"/>
                <w:position w:val="8"/>
                <w:vertAlign w:val="superscript"/>
                <w:rtl/>
              </w:rPr>
              <w:t>3</w:t>
            </w:r>
          </w:p>
        </w:tc>
        <w:tc>
          <w:tcPr>
            <w:tcW w:w="305" w:type="pct"/>
            <w:tcBorders>
              <w:top w:val="double" w:sz="6" w:space="0" w:color="000000"/>
              <w:left w:val="nil"/>
              <w:bottom w:val="single" w:sz="8" w:space="0" w:color="000000"/>
              <w:right w:val="nil"/>
            </w:tcBorders>
            <w:shd w:val="clear" w:color="auto" w:fill="D9D9D9"/>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tl/>
              </w:rPr>
            </w:pPr>
            <w:r w:rsidRPr="00202530">
              <w:rPr>
                <w:rFonts w:ascii="Calibri" w:hAnsi="Calibri" w:cs="Calibri"/>
                <w:color w:val="000000"/>
                <w:kern w:val="24"/>
              </w:rPr>
              <w:t>3.3</w:t>
            </w:r>
          </w:p>
        </w:tc>
        <w:tc>
          <w:tcPr>
            <w:tcW w:w="20" w:type="pct"/>
            <w:tcBorders>
              <w:top w:val="nil"/>
              <w:left w:val="nil"/>
              <w:bottom w:val="nil"/>
              <w:right w:val="nil"/>
            </w:tcBorders>
            <w:shd w:val="clear" w:color="auto" w:fill="auto"/>
            <w:tcMar>
              <w:top w:w="15" w:type="dxa"/>
              <w:left w:w="15" w:type="dxa"/>
              <w:bottom w:w="0" w:type="dxa"/>
              <w:right w:w="15" w:type="dxa"/>
            </w:tcMar>
            <w:vAlign w:val="center"/>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tl/>
              </w:rPr>
              <w:t>3.4</w:t>
            </w:r>
          </w:p>
        </w:tc>
        <w:tc>
          <w:tcPr>
            <w:tcW w:w="467"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-0.4</w:t>
            </w:r>
          </w:p>
        </w:tc>
        <w:tc>
          <w:tcPr>
            <w:tcW w:w="48" w:type="pct"/>
            <w:tcBorders>
              <w:top w:val="nil"/>
              <w:left w:val="nil"/>
              <w:bottom w:val="nil"/>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eastAsia="Calibri" w:hAnsi="Calibri" w:cs="Calibri"/>
                <w:b/>
                <w:bCs/>
                <w:color w:val="000000"/>
                <w:kern w:val="24"/>
                <w:rtl/>
              </w:rPr>
              <w:t>2.6</w:t>
            </w:r>
          </w:p>
        </w:tc>
        <w:tc>
          <w:tcPr>
            <w:tcW w:w="467"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Calibri" w:hAnsi="Calibri" w:cs="Calibri"/>
                <w:b/>
                <w:bCs/>
                <w:color w:val="4F81BD"/>
                <w:kern w:val="24"/>
                <w:rtl/>
              </w:rPr>
            </w:pPr>
            <w:r w:rsidRPr="00202530">
              <w:rPr>
                <w:rFonts w:ascii="Calibri" w:eastAsia="Calibri" w:hAnsi="Calibri" w:cs="Calibri"/>
                <w:b/>
                <w:bCs/>
                <w:color w:val="4F81BD"/>
                <w:kern w:val="24"/>
              </w:rPr>
              <w:t>-0.2</w:t>
            </w:r>
          </w:p>
        </w:tc>
        <w:tc>
          <w:tcPr>
            <w:tcW w:w="20"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rPr>
                <w:rFonts w:ascii="Calibri" w:eastAsia="Times New Roman" w:hAnsi="Calibri" w:cs="Calibri"/>
                <w:rtl/>
              </w:rPr>
            </w:pPr>
          </w:p>
        </w:tc>
        <w:tc>
          <w:tcPr>
            <w:tcW w:w="418" w:type="pct"/>
            <w:tcBorders>
              <w:top w:val="double" w:sz="6" w:space="0" w:color="000000"/>
              <w:left w:val="single" w:sz="8" w:space="0" w:color="FFFFFF"/>
              <w:bottom w:val="single" w:sz="8" w:space="0" w:color="000000"/>
              <w:right w:val="single" w:sz="8" w:space="0" w:color="FFFFFF"/>
            </w:tcBorders>
            <w:shd w:val="clear" w:color="auto" w:fill="auto"/>
            <w:tcMar>
              <w:top w:w="15" w:type="dxa"/>
              <w:left w:w="15" w:type="dxa"/>
              <w:bottom w:w="0" w:type="dxa"/>
              <w:right w:w="15" w:type="dxa"/>
            </w:tcMar>
            <w:vAlign w:val="center"/>
            <w:hideMark/>
          </w:tcPr>
          <w:p w:rsidR="00202530" w:rsidRPr="00202530" w:rsidRDefault="00202530" w:rsidP="00CF4BDA">
            <w:pPr>
              <w:bidi w:val="0"/>
              <w:spacing w:line="240" w:lineRule="auto"/>
              <w:jc w:val="center"/>
              <w:rPr>
                <w:rFonts w:ascii="Calibri" w:eastAsia="Times New Roman" w:hAnsi="Calibri" w:cs="Calibri"/>
              </w:rPr>
            </w:pPr>
            <w:r w:rsidRPr="00202530">
              <w:rPr>
                <w:rFonts w:ascii="Calibri" w:hAnsi="Calibri" w:cs="Calibri"/>
                <w:b/>
                <w:bCs/>
                <w:color w:val="000000"/>
                <w:kern w:val="24"/>
              </w:rPr>
              <w:t>2.</w:t>
            </w:r>
            <w:r w:rsidRPr="00202530">
              <w:rPr>
                <w:rFonts w:ascii="Calibri" w:hAnsi="Calibri" w:cs="Calibri"/>
                <w:b/>
                <w:bCs/>
                <w:color w:val="000000"/>
                <w:kern w:val="24"/>
                <w:rtl/>
              </w:rPr>
              <w:t>3</w:t>
            </w:r>
          </w:p>
        </w:tc>
      </w:tr>
    </w:tbl>
    <w:p w:rsidR="00202530" w:rsidRPr="00202530" w:rsidRDefault="00202530" w:rsidP="00202530">
      <w:pPr>
        <w:numPr>
          <w:ilvl w:val="0"/>
          <w:numId w:val="21"/>
        </w:numPr>
        <w:spacing w:after="60" w:line="240" w:lineRule="auto"/>
        <w:ind w:left="357" w:hanging="357"/>
        <w:jc w:val="both"/>
        <w:rPr>
          <w:rFonts w:ascii="Calibri" w:eastAsia="Calibri" w:hAnsi="Calibri" w:cs="Calibri"/>
          <w:sz w:val="20"/>
          <w:szCs w:val="20"/>
        </w:rPr>
      </w:pPr>
      <w:r w:rsidRPr="00202530">
        <w:rPr>
          <w:rFonts w:ascii="Calibri" w:eastAsia="Calibri" w:hAnsi="Calibri" w:cs="Calibri"/>
          <w:sz w:val="20"/>
          <w:szCs w:val="20"/>
          <w:rtl/>
        </w:rPr>
        <w:t>התחזית לרכיבי החשבונאות הלאומית ולחוב הציבורי מעוגלת לחצי נקודת אחוז.</w:t>
      </w:r>
    </w:p>
    <w:p w:rsidR="00202530" w:rsidRPr="00202530" w:rsidRDefault="00202530" w:rsidP="00202530">
      <w:pPr>
        <w:pStyle w:val="a6"/>
        <w:numPr>
          <w:ilvl w:val="0"/>
          <w:numId w:val="21"/>
        </w:numPr>
        <w:spacing w:after="60" w:line="240" w:lineRule="auto"/>
        <w:ind w:left="357" w:hanging="357"/>
        <w:contextualSpacing w:val="0"/>
        <w:jc w:val="both"/>
        <w:rPr>
          <w:rFonts w:ascii="Calibri" w:eastAsia="Calibri" w:hAnsi="Calibri" w:cs="Calibri"/>
          <w:sz w:val="20"/>
          <w:szCs w:val="20"/>
          <w:rtl/>
        </w:rPr>
      </w:pPr>
      <w:r w:rsidRPr="00202530">
        <w:rPr>
          <w:rFonts w:ascii="Calibri" w:eastAsia="Calibri" w:hAnsi="Calibri" w:cs="Calibri"/>
          <w:sz w:val="20"/>
          <w:szCs w:val="20"/>
          <w:rtl/>
        </w:rPr>
        <w:t xml:space="preserve">ממוצע שנתי. בהתאם להגדרה של </w:t>
      </w:r>
      <w:proofErr w:type="spellStart"/>
      <w:r w:rsidRPr="00202530">
        <w:rPr>
          <w:rFonts w:ascii="Calibri" w:eastAsia="Calibri" w:hAnsi="Calibri" w:cs="Calibri"/>
          <w:sz w:val="20"/>
          <w:szCs w:val="20"/>
          <w:rtl/>
        </w:rPr>
        <w:t>הלמ"ס</w:t>
      </w:r>
      <w:proofErr w:type="spellEnd"/>
      <w:r w:rsidRPr="00202530">
        <w:rPr>
          <w:rFonts w:ascii="Calibri" w:eastAsia="Calibri" w:hAnsi="Calibri" w:cs="Calibri"/>
          <w:sz w:val="20"/>
          <w:szCs w:val="20"/>
          <w:rtl/>
        </w:rPr>
        <w:t>, שיעור האבטלה הרחב כולל את המובטלים בהגדרתם הרגילה (מי שלא עבדו, רצו לעבוד, היו פנויים לעבודה, וחיפשו עבודה) ואת המועסקים שנעדרים זמנית מעבודתם מסיבות כלכליות (כולל עובדים בחל"ת). בהתאם, שיעור התעסוקה המותאם אינו כולל את הנעדרים זמנית מסיבות כלכליות.</w:t>
      </w:r>
    </w:p>
    <w:p w:rsidR="00202530" w:rsidRPr="00202530" w:rsidRDefault="00202530" w:rsidP="00202530">
      <w:pPr>
        <w:numPr>
          <w:ilvl w:val="0"/>
          <w:numId w:val="21"/>
        </w:numPr>
        <w:spacing w:after="60" w:line="240" w:lineRule="auto"/>
        <w:ind w:left="357" w:hanging="357"/>
        <w:jc w:val="both"/>
        <w:rPr>
          <w:rFonts w:ascii="Calibri" w:eastAsia="Calibri" w:hAnsi="Calibri" w:cs="Calibri"/>
          <w:sz w:val="20"/>
          <w:szCs w:val="20"/>
          <w:rtl/>
        </w:rPr>
      </w:pPr>
      <w:r w:rsidRPr="00202530">
        <w:rPr>
          <w:rFonts w:ascii="Calibri" w:eastAsia="Calibri" w:hAnsi="Calibri" w:cs="Calibri"/>
          <w:sz w:val="20"/>
          <w:szCs w:val="20"/>
          <w:rtl/>
        </w:rPr>
        <w:t>הממוצע של מדד המחירים לצרכן ברבעון האחרון בשנה לעומת הממוצע ברבעון האחרון בשנה הקודמת.</w:t>
      </w:r>
    </w:p>
    <w:p w:rsidR="00202530" w:rsidRPr="00202530" w:rsidRDefault="00202530" w:rsidP="00202530">
      <w:pPr>
        <w:bidi w:val="0"/>
        <w:spacing w:after="160" w:line="259" w:lineRule="auto"/>
        <w:rPr>
          <w:rFonts w:ascii="Calibri" w:eastAsia="Calibri" w:hAnsi="Calibri" w:cs="Calibri"/>
          <w:rtl/>
        </w:rPr>
      </w:pPr>
    </w:p>
    <w:p w:rsidR="00202530" w:rsidRPr="00202530" w:rsidRDefault="00202530" w:rsidP="00202530">
      <w:pPr>
        <w:pStyle w:val="a"/>
        <w:rPr>
          <w:rFonts w:ascii="Calibri" w:hAnsi="Calibri" w:cs="Calibri"/>
          <w:sz w:val="24"/>
          <w:rtl/>
        </w:rPr>
      </w:pPr>
      <w:r w:rsidRPr="00202530">
        <w:rPr>
          <w:rFonts w:ascii="Calibri" w:hAnsi="Calibri" w:cs="Calibri"/>
          <w:sz w:val="24"/>
          <w:rtl/>
        </w:rPr>
        <w:t>האינפלציה והריבית</w:t>
      </w:r>
    </w:p>
    <w:p w:rsidR="00202530" w:rsidRPr="00202530" w:rsidRDefault="00202530" w:rsidP="00202530">
      <w:pPr>
        <w:jc w:val="both"/>
        <w:rPr>
          <w:rFonts w:ascii="Calibri" w:hAnsi="Calibri" w:cs="Calibri"/>
          <w:b/>
          <w:rtl/>
        </w:rPr>
      </w:pPr>
      <w:r w:rsidRPr="00202530">
        <w:rPr>
          <w:rFonts w:ascii="Calibri" w:hAnsi="Calibri" w:cs="Calibri"/>
          <w:bCs/>
          <w:rtl/>
        </w:rPr>
        <w:t>שיעור האינפלציה במהלך שנת 2024 (ארבעת הרבעונים המסתיימים ברבעון הרביעי של שנת 2024) עמד להערכתנו על 3.4%, וצפוי לעמוד על 2.6% במהלך 2025 ועל 2.3% ב-2026</w:t>
      </w:r>
      <w:r w:rsidRPr="00202530">
        <w:rPr>
          <w:rFonts w:ascii="Calibri" w:hAnsi="Calibri" w:cs="Calibri"/>
          <w:b/>
          <w:rtl/>
        </w:rPr>
        <w:t xml:space="preserve"> (לוח 1). זאת לעומת 3.8% ו-2.8% ב-2024 ו-2025 בתחזית אוקטובר (לוח 1). בתקופת התחזית אנו צופים הקלה במגבלות הקיימות על צד ההיצע במקביל להתאוששות מעט מהירה יותר בתחילה של </w:t>
      </w:r>
      <w:proofErr w:type="spellStart"/>
      <w:r w:rsidRPr="00202530">
        <w:rPr>
          <w:rFonts w:ascii="Calibri" w:hAnsi="Calibri" w:cs="Calibri"/>
          <w:b/>
          <w:rtl/>
        </w:rPr>
        <w:t>הביקושים</w:t>
      </w:r>
      <w:proofErr w:type="spellEnd"/>
      <w:r w:rsidRPr="00202530">
        <w:rPr>
          <w:rFonts w:ascii="Calibri" w:hAnsi="Calibri" w:cs="Calibri"/>
          <w:b/>
          <w:rtl/>
        </w:rPr>
        <w:t xml:space="preserve">. על רקע זה, אנחנו צופים המשך התייקרות מסוימת במחירי הצרכן של חלק מהמוצרים והשירותים. למרות זאת, תחזית האינפלציה עבור 2025 עודכנה כלפי מטה, בעיקר בשל ייסוף של השקל בכ-5.5 אחוזים במונחי שע"ח הנומינלי-אפקטיבי ביחס להנחתנו באוקטובר. השפעת הייסוף תקוזז חלקית על ידי תרומות חיוביות לאינפלציה ב-2025 בשל צעדים פיסקאליים הצפויים להשפיע על רמת המחירים מתחילת 2025 (מעבר להשפעה שכבר זקפנו לצעדים אלו בתחזית </w:t>
      </w:r>
      <w:r w:rsidRPr="00202530">
        <w:rPr>
          <w:rFonts w:ascii="Calibri" w:hAnsi="Calibri" w:cs="Calibri"/>
          <w:b/>
          <w:rtl/>
        </w:rPr>
        <w:lastRenderedPageBreak/>
        <w:t xml:space="preserve">אוקטובר). עליית תוואי האינפלציה הצפוי במדינות המפותחות מקזזת אף היא מעט את השפעת הייסוף ותורמת מעט לעליית קצב האינפלציה ב-2025. </w:t>
      </w:r>
    </w:p>
    <w:p w:rsidR="00202530" w:rsidRPr="00202530" w:rsidRDefault="00202530" w:rsidP="00202530">
      <w:pPr>
        <w:jc w:val="both"/>
        <w:rPr>
          <w:rFonts w:ascii="Calibri" w:hAnsi="Calibri" w:cs="Calibri"/>
          <w:b/>
          <w:rtl/>
        </w:rPr>
      </w:pPr>
      <w:r w:rsidRPr="00202530">
        <w:rPr>
          <w:rFonts w:ascii="Calibri" w:hAnsi="Calibri" w:cs="Calibri"/>
          <w:bCs/>
          <w:rtl/>
        </w:rPr>
        <w:t>הריבית צפויה לרדת מעט ולעמוד על 4.0/4.25% בממוצע ברבעון הרביעי של 2025</w:t>
      </w:r>
      <w:r w:rsidRPr="00202530">
        <w:rPr>
          <w:rFonts w:ascii="Calibri" w:hAnsi="Calibri" w:cs="Calibri"/>
          <w:b/>
          <w:rtl/>
        </w:rPr>
        <w:t xml:space="preserve"> (לוח 2). זאת, לאור סביבת אינפלציה נמוכה יותר משהערכנו באוקטובר וצמצום הדרגתי שצפוי בעודף הביקוש, על רקע דעיכה הדרגתית שצפויה במגבלות על ההיצע לאורך תקופת התחזית.</w:t>
      </w: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2364"/>
        <w:gridCol w:w="2364"/>
        <w:gridCol w:w="2364"/>
      </w:tblGrid>
      <w:tr w:rsidR="00202530" w:rsidRPr="00202530" w:rsidTr="00CF4BDA">
        <w:trPr>
          <w:cantSplit/>
          <w:trHeight w:val="283"/>
          <w:tblHeader/>
        </w:trPr>
        <w:tc>
          <w:tcPr>
            <w:tcW w:w="8304" w:type="dxa"/>
            <w:gridSpan w:val="4"/>
            <w:shd w:val="clear" w:color="auto" w:fill="auto"/>
            <w:vAlign w:val="center"/>
          </w:tcPr>
          <w:p w:rsidR="00202530" w:rsidRPr="00202530" w:rsidRDefault="00202530" w:rsidP="00CF4BDA">
            <w:pPr>
              <w:keepNext/>
              <w:keepLines/>
              <w:spacing w:after="200"/>
              <w:ind w:left="113"/>
              <w:jc w:val="center"/>
              <w:rPr>
                <w:rFonts w:ascii="Calibri" w:eastAsia="Calibri" w:hAnsi="Calibri" w:cs="Calibri"/>
                <w:b/>
                <w:bCs/>
                <w:color w:val="4F81BD"/>
                <w:rtl/>
              </w:rPr>
            </w:pPr>
            <w:r w:rsidRPr="00202530">
              <w:rPr>
                <w:rFonts w:ascii="Calibri" w:eastAsia="Calibri" w:hAnsi="Calibri" w:cs="Calibri"/>
                <w:b/>
                <w:bCs/>
              </w:rPr>
              <w:br w:type="page"/>
            </w:r>
            <w:r w:rsidRPr="00202530">
              <w:rPr>
                <w:rFonts w:ascii="Calibri" w:eastAsia="Calibri" w:hAnsi="Calibri" w:cs="Calibri"/>
                <w:b/>
                <w:bCs/>
                <w:color w:val="4F81BD"/>
                <w:rtl/>
              </w:rPr>
              <w:t>לוח 2</w:t>
            </w:r>
          </w:p>
          <w:p w:rsidR="00202530" w:rsidRPr="00202530" w:rsidRDefault="00202530" w:rsidP="00CF4BDA">
            <w:pPr>
              <w:keepNext/>
              <w:keepLines/>
              <w:spacing w:after="200"/>
              <w:ind w:left="113"/>
              <w:jc w:val="center"/>
              <w:rPr>
                <w:rFonts w:ascii="Calibri" w:eastAsia="Calibri" w:hAnsi="Calibri" w:cs="Calibri"/>
                <w:color w:val="4F81BD"/>
                <w:rtl/>
              </w:rPr>
            </w:pPr>
            <w:r w:rsidRPr="00202530">
              <w:rPr>
                <w:rFonts w:ascii="Calibri" w:eastAsia="Calibri" w:hAnsi="Calibri" w:cs="Calibri"/>
                <w:b/>
                <w:bCs/>
                <w:color w:val="4F81BD"/>
                <w:rtl/>
              </w:rPr>
              <w:t>התחזיות לגבי האינפלציה במהלך השנה הקרובה ולגבי הריבית בעוד שנה</w:t>
            </w:r>
            <w:r w:rsidRPr="00202530">
              <w:rPr>
                <w:rFonts w:ascii="Calibri" w:eastAsia="Calibri" w:hAnsi="Calibri" w:cs="Calibri"/>
                <w:b/>
                <w:bCs/>
                <w:color w:val="4F81BD"/>
              </w:rPr>
              <w:t xml:space="preserve"> </w:t>
            </w:r>
            <w:r w:rsidRPr="00202530">
              <w:rPr>
                <w:rFonts w:ascii="Calibri" w:eastAsia="Calibri" w:hAnsi="Calibri" w:cs="Calibri"/>
                <w:color w:val="4F81BD"/>
                <w:rtl/>
              </w:rPr>
              <w:t>(אחוזים)</w:t>
            </w:r>
          </w:p>
        </w:tc>
      </w:tr>
      <w:tr w:rsidR="00202530" w:rsidRPr="00202530" w:rsidTr="00CF4BDA">
        <w:trPr>
          <w:cantSplit/>
          <w:trHeight w:val="283"/>
          <w:tblHeader/>
        </w:trPr>
        <w:tc>
          <w:tcPr>
            <w:tcW w:w="0" w:type="auto"/>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highlight w:val="yellow"/>
                <w:rtl/>
              </w:rPr>
            </w:pP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חטיבת המחקר של בנק ישראל</w:t>
            </w: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שוק ההון</w:t>
            </w:r>
            <w:r w:rsidRPr="00202530">
              <w:rPr>
                <w:rFonts w:ascii="Calibri" w:eastAsia="Calibri" w:hAnsi="Calibri" w:cs="Calibri"/>
                <w:vertAlign w:val="superscript"/>
                <w:rtl/>
              </w:rPr>
              <w:t>1</w:t>
            </w:r>
          </w:p>
        </w:tc>
        <w:tc>
          <w:tcPr>
            <w:tcW w:w="2316" w:type="dxa"/>
            <w:tcBorders>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vertAlign w:val="superscript"/>
                <w:rtl/>
              </w:rPr>
            </w:pPr>
            <w:r w:rsidRPr="00202530">
              <w:rPr>
                <w:rFonts w:ascii="Calibri" w:eastAsia="Calibri" w:hAnsi="Calibri" w:cs="Calibri"/>
                <w:rtl/>
              </w:rPr>
              <w:t>החזאים הפרטיים</w:t>
            </w:r>
            <w:r w:rsidRPr="00202530">
              <w:rPr>
                <w:rFonts w:ascii="Calibri" w:eastAsia="Calibri" w:hAnsi="Calibri" w:cs="Calibri"/>
                <w:vertAlign w:val="superscript"/>
                <w:rtl/>
              </w:rPr>
              <w:t>2</w:t>
            </w:r>
          </w:p>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(טווח התחזיות)</w:t>
            </w:r>
            <w:r w:rsidRPr="00202530">
              <w:rPr>
                <w:rFonts w:ascii="Calibri" w:eastAsia="Calibri" w:hAnsi="Calibri" w:cs="Calibri"/>
                <w:vertAlign w:val="superscript"/>
                <w:rtl/>
              </w:rPr>
              <w:t xml:space="preserve"> </w:t>
            </w:r>
          </w:p>
        </w:tc>
      </w:tr>
      <w:tr w:rsidR="00202530" w:rsidRPr="00202530" w:rsidTr="00CF4BDA">
        <w:trPr>
          <w:cantSplit/>
          <w:trHeight w:val="283"/>
        </w:trPr>
        <w:tc>
          <w:tcPr>
            <w:tcW w:w="0" w:type="auto"/>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both"/>
              <w:rPr>
                <w:rFonts w:ascii="Calibri" w:eastAsia="Calibri" w:hAnsi="Calibri" w:cs="Calibri"/>
                <w:rtl/>
              </w:rPr>
            </w:pPr>
            <w:r w:rsidRPr="00202530">
              <w:rPr>
                <w:rFonts w:ascii="Calibri" w:eastAsia="Calibri" w:hAnsi="Calibri" w:cs="Calibri"/>
                <w:rtl/>
              </w:rPr>
              <w:t>האינפלציה</w:t>
            </w:r>
            <w:r w:rsidRPr="00202530">
              <w:rPr>
                <w:rFonts w:ascii="Calibri" w:eastAsia="Calibri" w:hAnsi="Calibri" w:cs="Calibri"/>
                <w:vertAlign w:val="superscript"/>
                <w:rtl/>
              </w:rPr>
              <w:t>3</w:t>
            </w:r>
            <w:r w:rsidRPr="00202530">
              <w:rPr>
                <w:rFonts w:ascii="Calibri" w:eastAsia="Calibri" w:hAnsi="Calibri" w:cs="Calibri"/>
                <w:rtl/>
              </w:rPr>
              <w:t xml:space="preserve"> </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2.6</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2.3</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tl/>
              </w:rPr>
              <w:t>2.7 (2.3—3.2)</w:t>
            </w:r>
          </w:p>
        </w:tc>
      </w:tr>
      <w:tr w:rsidR="00202530" w:rsidRPr="00202530" w:rsidTr="00CF4BDA">
        <w:trPr>
          <w:cantSplit/>
          <w:trHeight w:val="283"/>
        </w:trPr>
        <w:tc>
          <w:tcPr>
            <w:tcW w:w="0" w:type="auto"/>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both"/>
              <w:rPr>
                <w:rFonts w:ascii="Calibri" w:eastAsia="Calibri" w:hAnsi="Calibri" w:cs="Calibri"/>
                <w:vertAlign w:val="superscript"/>
                <w:rtl/>
              </w:rPr>
            </w:pPr>
            <w:r w:rsidRPr="00202530">
              <w:rPr>
                <w:rFonts w:ascii="Calibri" w:eastAsia="Calibri" w:hAnsi="Calibri" w:cs="Calibri"/>
                <w:rtl/>
              </w:rPr>
              <w:t>הריבית</w:t>
            </w:r>
            <w:r w:rsidRPr="00202530">
              <w:rPr>
                <w:rFonts w:ascii="Calibri" w:eastAsia="Calibri" w:hAnsi="Calibri" w:cs="Calibri"/>
                <w:vertAlign w:val="superscript"/>
                <w:rtl/>
              </w:rPr>
              <w:t>4</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4.25</w:t>
            </w:r>
            <w:r w:rsidRPr="00202530">
              <w:rPr>
                <w:rFonts w:ascii="Calibri" w:eastAsia="Calibri" w:hAnsi="Calibri" w:cs="Calibri"/>
              </w:rPr>
              <w:t>4.0/</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Pr>
            </w:pPr>
            <w:r w:rsidRPr="00202530">
              <w:rPr>
                <w:rFonts w:ascii="Calibri" w:eastAsia="Calibri" w:hAnsi="Calibri" w:cs="Calibri"/>
                <w:rtl/>
              </w:rPr>
              <w:t>4.0</w:t>
            </w:r>
          </w:p>
        </w:tc>
        <w:tc>
          <w:tcPr>
            <w:tcW w:w="2316" w:type="dxa"/>
            <w:tcBorders>
              <w:top w:val="single" w:sz="4" w:space="0" w:color="auto"/>
              <w:bottom w:val="single" w:sz="4" w:space="0" w:color="auto"/>
            </w:tcBorders>
            <w:shd w:val="clear" w:color="auto" w:fill="auto"/>
            <w:vAlign w:val="center"/>
          </w:tcPr>
          <w:p w:rsidR="00202530" w:rsidRPr="00202530" w:rsidRDefault="00202530" w:rsidP="00CF4BDA">
            <w:pPr>
              <w:keepNext/>
              <w:keepLines/>
              <w:spacing w:after="120"/>
              <w:ind w:left="113"/>
              <w:jc w:val="center"/>
              <w:rPr>
                <w:rFonts w:ascii="Calibri" w:eastAsia="Calibri" w:hAnsi="Calibri" w:cs="Calibri"/>
                <w:rtl/>
              </w:rPr>
            </w:pPr>
            <w:r w:rsidRPr="00202530">
              <w:rPr>
                <w:rFonts w:ascii="Calibri" w:eastAsia="Calibri" w:hAnsi="Calibri" w:cs="Calibri"/>
              </w:rPr>
              <w:t>3.9</w:t>
            </w:r>
            <w:r w:rsidRPr="00202530">
              <w:rPr>
                <w:rFonts w:ascii="Calibri" w:eastAsia="Calibri" w:hAnsi="Calibri" w:cs="Calibri"/>
                <w:rtl/>
              </w:rPr>
              <w:t xml:space="preserve"> (3.25—4.4)</w:t>
            </w:r>
          </w:p>
        </w:tc>
      </w:tr>
      <w:tr w:rsidR="00202530" w:rsidRPr="00202530" w:rsidTr="00CF4BDA">
        <w:trPr>
          <w:cantSplit/>
          <w:trHeight w:val="283"/>
        </w:trPr>
        <w:tc>
          <w:tcPr>
            <w:tcW w:w="8304" w:type="dxa"/>
            <w:gridSpan w:val="4"/>
            <w:tcBorders>
              <w:top w:val="single" w:sz="4" w:space="0" w:color="auto"/>
            </w:tcBorders>
            <w:shd w:val="clear" w:color="auto" w:fill="auto"/>
            <w:vAlign w:val="center"/>
          </w:tcPr>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 xml:space="preserve">ציפיות האינפלציה מנוכות עונתיות (נכון לנתוני ה-1/1/2025). הציפיות משוק ההון מבוססות על שוק </w:t>
            </w:r>
            <w:proofErr w:type="spellStart"/>
            <w:r w:rsidRPr="00202530">
              <w:rPr>
                <w:rFonts w:ascii="Calibri" w:eastAsia="Calibri" w:hAnsi="Calibri" w:cs="Calibri"/>
                <w:rtl/>
              </w:rPr>
              <w:t>התלבור</w:t>
            </w:r>
            <w:proofErr w:type="spellEnd"/>
            <w:r w:rsidRPr="00202530">
              <w:rPr>
                <w:rFonts w:ascii="Calibri" w:eastAsia="Calibri" w:hAnsi="Calibri" w:cs="Calibri"/>
                <w:rtl/>
              </w:rPr>
              <w:t xml:space="preserve"> (נכון לנתוני ה-31/12/2024).</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נכון לנתוני ה-1/1/2025.</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חטיבת המחקר – בארבעת הרבעונים המסתיימים ברבעון הרביעי של 2025.</w:t>
            </w:r>
          </w:p>
          <w:p w:rsidR="00202530" w:rsidRPr="00202530" w:rsidRDefault="00202530" w:rsidP="00202530">
            <w:pPr>
              <w:keepNext/>
              <w:keepLines/>
              <w:numPr>
                <w:ilvl w:val="0"/>
                <w:numId w:val="23"/>
              </w:numPr>
              <w:spacing w:before="120"/>
              <w:ind w:left="426" w:hanging="284"/>
              <w:contextualSpacing/>
              <w:jc w:val="both"/>
              <w:rPr>
                <w:rFonts w:ascii="Calibri" w:eastAsia="Calibri" w:hAnsi="Calibri" w:cs="Calibri"/>
              </w:rPr>
            </w:pPr>
            <w:r w:rsidRPr="00202530">
              <w:rPr>
                <w:rFonts w:ascii="Calibri" w:eastAsia="Calibri" w:hAnsi="Calibri" w:cs="Calibri"/>
                <w:rtl/>
              </w:rPr>
              <w:t xml:space="preserve">חטיבת המחקר – הריבית הממוצעת ברבעון הרביעי של 2025. </w:t>
            </w:r>
          </w:p>
          <w:p w:rsidR="00202530" w:rsidRPr="00202530" w:rsidRDefault="00202530" w:rsidP="00CF4BDA">
            <w:pPr>
              <w:keepNext/>
              <w:keepLines/>
              <w:spacing w:after="120"/>
              <w:jc w:val="both"/>
              <w:rPr>
                <w:rFonts w:ascii="Calibri" w:eastAsia="Calibri" w:hAnsi="Calibri" w:cs="Calibri"/>
                <w:highlight w:val="yellow"/>
                <w:rtl/>
              </w:rPr>
            </w:pPr>
            <w:r w:rsidRPr="00202530">
              <w:rPr>
                <w:rFonts w:ascii="Calibri" w:eastAsia="Calibri" w:hAnsi="Calibri" w:cs="Calibri"/>
                <w:b/>
                <w:bCs/>
                <w:rtl/>
              </w:rPr>
              <w:t>המקור:</w:t>
            </w:r>
            <w:r w:rsidRPr="00202530">
              <w:rPr>
                <w:rFonts w:ascii="Calibri" w:eastAsia="Calibri" w:hAnsi="Calibri" w:cs="Calibri"/>
                <w:rtl/>
              </w:rPr>
              <w:t xml:space="preserve"> בנק ישראל.</w:t>
            </w:r>
          </w:p>
        </w:tc>
      </w:tr>
    </w:tbl>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sz w:val="20"/>
          <w:szCs w:val="20"/>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p>
    <w:p w:rsidR="00202530" w:rsidRPr="00202530" w:rsidRDefault="00202530" w:rsidP="00202530">
      <w:pPr>
        <w:jc w:val="both"/>
        <w:rPr>
          <w:rFonts w:ascii="Calibri" w:hAnsi="Calibri" w:cs="Calibri"/>
          <w:b/>
          <w:rtl/>
        </w:rPr>
      </w:pPr>
      <w:r w:rsidRPr="00202530">
        <w:rPr>
          <w:rFonts w:ascii="Calibri" w:hAnsi="Calibri" w:cs="Calibri"/>
          <w:b/>
          <w:rtl/>
        </w:rPr>
        <w:t>מלוח 2 עולה כי תחזית החטיבה לאינפלציה במהלך ארבעת הרביעים הקרובים גבוהה ביחס לתחזית הנגזרת משוק ההון ונמוכה מעט מממוצע תחזיות החזאים הפרטיים. תחזית החטיבה לריבית בעוד ארבעה רביעים גבוהה בהשוואה לציפיות הנגזרות משוק ההון וגבוהה אף יותר ביחס לממוצע החזאים.</w:t>
      </w:r>
    </w:p>
    <w:p w:rsidR="00202530" w:rsidRPr="00202530" w:rsidRDefault="00202530" w:rsidP="00202530">
      <w:pPr>
        <w:pStyle w:val="a"/>
        <w:rPr>
          <w:rFonts w:ascii="Calibri" w:hAnsi="Calibri" w:cs="Calibri"/>
          <w:sz w:val="24"/>
        </w:rPr>
      </w:pPr>
      <w:r w:rsidRPr="00202530">
        <w:rPr>
          <w:rFonts w:ascii="Calibri" w:hAnsi="Calibri" w:cs="Calibri"/>
          <w:sz w:val="24"/>
          <w:rtl/>
        </w:rPr>
        <w:t>הסיכונים העיקריים לתחזית</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אי הודאות בתקופה הנוכחית היא עדיין גבוהה ביחס לרגיל. כאמור, התרחיש הבסיסי של התחזית מבוסס על הנחה שההשפעה הכלכלית הישירה של המלחמה תימשך אל תוך תחילת שנת 2025. עם זאת, ההתפתחויות </w:t>
      </w:r>
      <w:proofErr w:type="spellStart"/>
      <w:r w:rsidRPr="00202530">
        <w:rPr>
          <w:rFonts w:ascii="Calibri" w:hAnsi="Calibri" w:cs="Calibri"/>
          <w:rtl/>
        </w:rPr>
        <w:t>הגיאו</w:t>
      </w:r>
      <w:proofErr w:type="spellEnd"/>
      <w:r w:rsidRPr="00202530">
        <w:rPr>
          <w:rFonts w:ascii="Calibri" w:hAnsi="Calibri" w:cs="Calibri"/>
          <w:rtl/>
        </w:rPr>
        <w:t xml:space="preserve">-פוליטיות מאז פרסום תחזית אוקטובר, הביאו להתמתנות משמעותית בהסתברות להתממשותם של תרחישים חמורים יותר מאלה שמגולמים בתרחיש הבסיס. </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גם בתחום הפיסקאלי, אישור הצעת התקציב ל-2025 בממשלה תוך ביצוע ההתאמות הנדרשות וחקיקת תיקוני המיסוי, לצד צמצום האי-ודאות </w:t>
      </w:r>
      <w:proofErr w:type="spellStart"/>
      <w:r w:rsidRPr="00202530">
        <w:rPr>
          <w:rFonts w:ascii="Calibri" w:hAnsi="Calibri" w:cs="Calibri"/>
          <w:rtl/>
        </w:rPr>
        <w:t>הגיאו</w:t>
      </w:r>
      <w:proofErr w:type="spellEnd"/>
      <w:r w:rsidRPr="00202530">
        <w:rPr>
          <w:rFonts w:ascii="Calibri" w:hAnsi="Calibri" w:cs="Calibri"/>
          <w:rtl/>
        </w:rPr>
        <w:t>-פוליטית, מקטינים במידה ניכרת את ההסתברות להתבדרות הגירעון ויחס החוב לתוצר. כתוצאה מכך החשש מעלייה נוספת בפרמיית הסיכון של ישראל בטווח הבינוני ולפיחות משמעותי בשקל במונחי שער החליפין הנומינלי אפקטיבי, פחת ולכן הסיכונים כלפי מטה לתחזית הצמיחה וכלפי מעלה לאינפלציה ולריבית פחתו אף הם.</w:t>
      </w:r>
    </w:p>
    <w:p w:rsidR="00202530" w:rsidRPr="00202530" w:rsidRDefault="00202530" w:rsidP="00202530">
      <w:pPr>
        <w:ind w:left="8"/>
        <w:jc w:val="both"/>
        <w:rPr>
          <w:rFonts w:ascii="Calibri" w:hAnsi="Calibri" w:cs="Calibri"/>
          <w:rtl/>
        </w:rPr>
      </w:pPr>
      <w:r w:rsidRPr="00202530">
        <w:rPr>
          <w:rFonts w:ascii="Calibri" w:hAnsi="Calibri" w:cs="Calibri"/>
          <w:rtl/>
        </w:rPr>
        <w:t xml:space="preserve">על אף האמור לעיל, גם לאחר התמתנות הסיכונים ואי-הודאות ביחס לאוקטובר, מניפת ההתפתחויות האפשרית עודנה רחבה כך שהסיכונים לתחזית עודם גבוהים יחסית. כך, אנו מניחים השתחררות של מגבלות ההיצע בתקופת התחזית. אולם </w:t>
      </w:r>
      <w:r w:rsidRPr="00202530">
        <w:rPr>
          <w:rFonts w:ascii="Calibri" w:hAnsi="Calibri" w:cs="Calibri"/>
          <w:rtl/>
        </w:rPr>
        <w:lastRenderedPageBreak/>
        <w:t xml:space="preserve">השתחררות איטית יותר של מגבלות ההיצע או האצה מהירה </w:t>
      </w:r>
      <w:proofErr w:type="spellStart"/>
      <w:r w:rsidRPr="00202530">
        <w:rPr>
          <w:rFonts w:ascii="Calibri" w:hAnsi="Calibri" w:cs="Calibri"/>
          <w:rtl/>
        </w:rPr>
        <w:t>בביקושים</w:t>
      </w:r>
      <w:proofErr w:type="spellEnd"/>
      <w:r w:rsidRPr="00202530">
        <w:rPr>
          <w:rFonts w:ascii="Calibri" w:hAnsi="Calibri" w:cs="Calibri"/>
          <w:rtl/>
        </w:rPr>
        <w:t xml:space="preserve"> עם סיום המלחמה במהלך 2025, ביחס להנחתנו, מהווים סיכון כלפי מעלה לתחזית האינפלציה והריבית. גם התנודתיות הגבוהה של שע"ח בתקופה האחרונה מהווה סיכון לתחזית האינפלציה והריבית, הן כלפי מעלה והן כלפי מטה.</w:t>
      </w:r>
    </w:p>
    <w:p w:rsidR="00202530" w:rsidRPr="00202530" w:rsidRDefault="00202530" w:rsidP="00202530">
      <w:pPr>
        <w:ind w:left="8"/>
        <w:jc w:val="both"/>
        <w:rPr>
          <w:rFonts w:ascii="Calibri" w:hAnsi="Calibri" w:cs="Calibri"/>
          <w:rtl/>
        </w:rPr>
      </w:pPr>
      <w:r w:rsidRPr="00202530">
        <w:rPr>
          <w:rFonts w:ascii="Calibri" w:hAnsi="Calibri" w:cs="Calibri"/>
          <w:rtl/>
        </w:rPr>
        <w:t>שוק הדיור מהווה אף הוא סיכון כלפי מעלה לתחזית האינפלציה. סיכון זה עשוי להתממש מצד ההיצע – ככל שבעיית המחסור בעובדים בענף הבנייה לא תיפתר. אולם, גם בצד הביקוש נראה כי קיימים סיכונים כלפי מעלה על רקע שחרור אנשי מילואים צעירים הצפויים להתחיל או לחזור ללימודי השכלה גבוהה או לצאת לשוק העבודה ולאור אי-הוודאות לגבי מועד חזרת המפונים לביתם,.</w:t>
      </w:r>
    </w:p>
    <w:p w:rsidR="00202530" w:rsidRPr="00202530" w:rsidRDefault="00202530" w:rsidP="00202530">
      <w:pPr>
        <w:ind w:left="8"/>
        <w:jc w:val="both"/>
        <w:rPr>
          <w:rFonts w:ascii="Calibri" w:hAnsi="Calibri" w:cs="Calibri"/>
          <w:rtl/>
        </w:rPr>
      </w:pPr>
      <w:r w:rsidRPr="00202530">
        <w:rPr>
          <w:rFonts w:ascii="Calibri" w:hAnsi="Calibri" w:cs="Calibri"/>
          <w:rtl/>
        </w:rPr>
        <w:t>נוסף לאלו, ברמה העולמית, צעדי המדיניות עליהם מצביע הממשל החדש בארה"ב עשויים לפגוע בסחר העולמי, ולהעלות את רמות המחירים בעולם, ועל כן מגדילים את אי-הוודאות לגבי התחזית.</w:t>
      </w:r>
    </w:p>
    <w:p w:rsidR="00202530" w:rsidRPr="00202530" w:rsidRDefault="00202530" w:rsidP="00202530">
      <w:pPr>
        <w:ind w:left="8"/>
        <w:jc w:val="both"/>
        <w:rPr>
          <w:rFonts w:ascii="Calibri" w:hAnsi="Calibri" w:cs="Calibri"/>
          <w:rtl/>
        </w:rPr>
      </w:pPr>
    </w:p>
    <w:p w:rsidR="00202530" w:rsidRPr="00202530" w:rsidRDefault="00202530" w:rsidP="009005BA">
      <w:pPr>
        <w:tabs>
          <w:tab w:val="left" w:pos="2315"/>
        </w:tabs>
        <w:rPr>
          <w:rFonts w:ascii="Calibri" w:hAnsi="Calibri" w:cs="Calibri"/>
          <w:sz w:val="24"/>
          <w:szCs w:val="24"/>
          <w:rtl/>
        </w:rPr>
      </w:pPr>
    </w:p>
    <w:sectPr w:rsidR="00202530" w:rsidRPr="00202530"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202530" w:rsidRPr="00202530" w:rsidRDefault="00202530" w:rsidP="00202530">
      <w:pPr>
        <w:pStyle w:val="af1"/>
        <w:spacing w:before="60"/>
        <w:ind w:left="19"/>
        <w:rPr>
          <w:rFonts w:ascii="Calibri" w:hAnsi="Calibri" w:cs="Calibri"/>
          <w:sz w:val="18"/>
          <w:szCs w:val="18"/>
          <w:rtl/>
        </w:rPr>
      </w:pPr>
      <w:r w:rsidRPr="00202530">
        <w:rPr>
          <w:rStyle w:val="af3"/>
          <w:rFonts w:ascii="Calibri" w:hAnsi="Calibri" w:cs="Calibri"/>
        </w:rPr>
        <w:footnoteRef/>
      </w:r>
      <w:r w:rsidRPr="00202530">
        <w:rPr>
          <w:rFonts w:ascii="Calibri" w:hAnsi="Calibri" w:cs="Calibri"/>
          <w:rtl/>
        </w:rPr>
        <w:t xml:space="preserve"> התחזית הוצגה לוועדה המוניטרית ב-5/1/2025, לקראת החלטת הריבית שהתקבלה ב-6/1/2025.</w:t>
      </w:r>
    </w:p>
  </w:footnote>
  <w:footnote w:id="2">
    <w:p w:rsidR="00202530" w:rsidRPr="00202530" w:rsidRDefault="00202530" w:rsidP="00202530">
      <w:pPr>
        <w:pStyle w:val="af1"/>
        <w:spacing w:before="60"/>
        <w:ind w:left="5"/>
        <w:jc w:val="both"/>
        <w:rPr>
          <w:rFonts w:ascii="Calibri" w:hAnsi="Calibri" w:cs="Calibri"/>
          <w:rtl/>
        </w:rPr>
      </w:pPr>
      <w:r w:rsidRPr="00202530">
        <w:rPr>
          <w:rFonts w:ascii="Calibri" w:hAnsi="Calibri" w:cs="Calibri"/>
          <w:vertAlign w:val="superscript"/>
        </w:rPr>
        <w:footnoteRef/>
      </w:r>
      <w:r w:rsidRPr="00202530">
        <w:rPr>
          <w:rFonts w:ascii="Calibri" w:hAnsi="Calibri" w:cs="Calibri"/>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202530">
        <w:rPr>
          <w:rFonts w:ascii="Calibri" w:hAnsi="Calibri" w:cs="Calibri"/>
        </w:rPr>
        <w:t>DSGE</w:t>
      </w:r>
      <w:r w:rsidRPr="00202530">
        <w:rPr>
          <w:rFonts w:ascii="Calibri" w:hAnsi="Calibri" w:cs="Calibri"/>
          <w:rtl/>
        </w:rPr>
        <w:t xml:space="preserve"> זמין באתר האינטרנט של בנק ישראל. כותרתו</w:t>
      </w:r>
    </w:p>
    <w:p w:rsidR="00202530" w:rsidRPr="00202530" w:rsidRDefault="007C6E51" w:rsidP="00202530">
      <w:pPr>
        <w:pStyle w:val="af1"/>
        <w:bidi w:val="0"/>
        <w:spacing w:before="60"/>
        <w:ind w:left="14"/>
        <w:rPr>
          <w:rFonts w:ascii="Calibri" w:hAnsi="Calibri" w:cs="Calibri"/>
          <w:sz w:val="22"/>
        </w:rPr>
      </w:pPr>
      <w:hyperlink r:id="rId1" w:history="1">
        <w:r w:rsidR="00202530" w:rsidRPr="00202530">
          <w:rPr>
            <w:rStyle w:val="Hyperlink"/>
            <w:rFonts w:ascii="Calibri" w:hAnsi="Calibri" w:cs="Calibri"/>
          </w:rPr>
          <w:t>MOISE: A DSGE Model for the Israeli Economy, Discussion Paper No. 2012.06</w:t>
        </w:r>
      </w:hyperlink>
      <w:r w:rsidR="00202530" w:rsidRPr="002025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92741338"/>
    <w:lvl w:ilvl="0" w:tplc="AF560170">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2530"/>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6E51"/>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C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202530"/>
    <w:pPr>
      <w:keepNext/>
      <w:numPr>
        <w:numId w:val="22"/>
      </w:numPr>
      <w:spacing w:before="240" w:after="120" w:line="360" w:lineRule="auto"/>
      <w:contextualSpacing/>
      <w:jc w:val="both"/>
    </w:pPr>
    <w:rPr>
      <w:rFonts w:ascii="David" w:eastAsia="Times New Roman" w:hAnsi="David" w:cs="David"/>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202530"/>
    <w:rPr>
      <w:rFonts w:ascii="David" w:eastAsia="Times New Roman" w:hAnsi="David" w:cs="David"/>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ybvpydng/dp12065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A284-06B6-4E50-88BB-BE3B7018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8761</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2025-01-06T11:45:00Z</dcterms:created>
  <dcterms:modified xsi:type="dcterms:W3CDTF">2025-01-06T11:53:00Z</dcterms:modified>
</cp:coreProperties>
</file>