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Pr="00F14EAF" w:rsidRDefault="004E549D" w:rsidP="003B7B7B">
      <w:pPr>
        <w:keepNext/>
        <w:bidi/>
        <w:rPr>
          <w:rFonts w:asciiTheme="minorBidi" w:hAnsiTheme="minorBidi" w:cstheme="minorBidi"/>
          <w:rtl/>
        </w:rPr>
      </w:pPr>
    </w:p>
    <w:p w:rsidR="00ED3B7F" w:rsidRPr="00F14EAF" w:rsidRDefault="00ED3B7F" w:rsidP="003B7B7B">
      <w:pPr>
        <w:keepNext/>
        <w:bidi/>
        <w:rPr>
          <w:rFonts w:asciiTheme="minorBidi" w:hAnsiTheme="minorBidi" w:cstheme="minorBidi"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E86DEA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F14EAF" w:rsidRDefault="00EF5C8F" w:rsidP="003B7B7B">
            <w:pPr>
              <w:keepNext/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14E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:rsidR="00060CD7" w:rsidRPr="00F14EAF" w:rsidRDefault="00EF5C8F" w:rsidP="003B7B7B">
            <w:pPr>
              <w:keepNext/>
              <w:bidi/>
              <w:spacing w:line="360" w:lineRule="auto"/>
              <w:ind w:right="-10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</w:rPr>
            </w:pPr>
            <w:r w:rsidRPr="00F14EAF">
              <w:rPr>
                <w:rFonts w:asciiTheme="minorBidi" w:hAnsiTheme="minorBidi" w:cstheme="minorBidi"/>
                <w:noProof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342350</wp:posOffset>
                  </wp:positionH>
                  <wp:positionV relativeFrom="margin">
                    <wp:posOffset>146685</wp:posOffset>
                  </wp:positionV>
                  <wp:extent cx="1191260" cy="1191260"/>
                  <wp:effectExtent l="0" t="0" r="8890" b="8890"/>
                  <wp:wrapSquare wrapText="bothSides"/>
                  <wp:docPr id="2" name="Picture 1" descr="C:\Users\u17x\Desktop\תמונת לוגו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17x\Desktop\תמונת לוגו 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F14EAF" w:rsidRDefault="00EF5C8F" w:rsidP="003B7B7B">
            <w:pPr>
              <w:keepNext/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‏ירושלים, </w:t>
            </w:r>
            <w:r w:rsidR="006A5495"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כ' באדר </w:t>
            </w:r>
            <w:r w:rsidR="00B70501"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>התש</w:t>
            </w:r>
            <w:r w:rsidR="009C1CC8"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>פ"</w:t>
            </w:r>
            <w:r w:rsidR="006A5495"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>ה</w:t>
            </w:r>
          </w:p>
          <w:p w:rsidR="00060CD7" w:rsidRPr="00F14EAF" w:rsidRDefault="00EF5C8F" w:rsidP="003B7B7B">
            <w:pPr>
              <w:keepNext/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  <w:r w:rsidR="002033CE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F14E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למרץ 2025</w:t>
            </w:r>
          </w:p>
          <w:p w:rsidR="009164C6" w:rsidRPr="00F14EAF" w:rsidRDefault="009164C6" w:rsidP="003B7B7B">
            <w:pPr>
              <w:keepNext/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060CD7" w:rsidRPr="00F14EAF" w:rsidRDefault="00EF5C8F" w:rsidP="003B7B7B">
      <w:pPr>
        <w:keepNext/>
        <w:bidi/>
        <w:spacing w:line="360" w:lineRule="auto"/>
        <w:ind w:right="-101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bidi="ar-SA"/>
        </w:rPr>
        <w:t>إعلان للصحافة</w:t>
      </w:r>
      <w:r w:rsidRPr="00F14EAF">
        <w:rPr>
          <w:rFonts w:asciiTheme="minorBidi" w:hAnsiTheme="minorBidi" w:cstheme="minorBidi"/>
          <w:sz w:val="24"/>
          <w:szCs w:val="24"/>
          <w:rtl/>
        </w:rPr>
        <w:t>:</w:t>
      </w:r>
    </w:p>
    <w:p w:rsidR="00F14EAF" w:rsidRPr="00A219E8" w:rsidRDefault="00EF5C8F" w:rsidP="003B7B7B">
      <w:pPr>
        <w:keepNext/>
        <w:bidi/>
        <w:jc w:val="center"/>
        <w:rPr>
          <w:rFonts w:asciiTheme="minorBidi" w:eastAsiaTheme="majorEastAsia" w:hAnsiTheme="minorBidi" w:cstheme="minorBidi"/>
          <w:b/>
          <w:bCs/>
          <w:color w:val="17365D" w:themeColor="text2" w:themeShade="BF"/>
          <w:spacing w:val="5"/>
          <w:kern w:val="28"/>
          <w:sz w:val="28"/>
          <w:szCs w:val="28"/>
          <w:rtl/>
          <w:lang w:bidi="ar-SA"/>
        </w:rPr>
      </w:pPr>
      <w:r w:rsidRPr="00A219E8">
        <w:rPr>
          <w:rFonts w:asciiTheme="minorBidi" w:eastAsiaTheme="majorEastAsia" w:hAnsiTheme="minorBidi" w:cstheme="minorBidi" w:hint="cs"/>
          <w:b/>
          <w:bCs/>
          <w:color w:val="17365D" w:themeColor="text2" w:themeShade="BF"/>
          <w:spacing w:val="5"/>
          <w:kern w:val="28"/>
          <w:sz w:val="28"/>
          <w:szCs w:val="28"/>
          <w:rtl/>
          <w:lang w:bidi="ar-SA"/>
        </w:rPr>
        <w:t>التداول في</w:t>
      </w:r>
      <w:r w:rsidRPr="00A219E8">
        <w:rPr>
          <w:rFonts w:asciiTheme="minorBidi" w:eastAsiaTheme="majorEastAsia" w:hAnsiTheme="minorBidi" w:cstheme="minorBidi"/>
          <w:b/>
          <w:bCs/>
          <w:color w:val="17365D" w:themeColor="text2" w:themeShade="BF"/>
          <w:spacing w:val="5"/>
          <w:kern w:val="28"/>
          <w:sz w:val="28"/>
          <w:szCs w:val="28"/>
          <w:rtl/>
          <w:lang w:bidi="ar-SA"/>
        </w:rPr>
        <w:t xml:space="preserve"> سوق الصرف الأجنبي في الربع الرابع من عام 2024</w:t>
      </w:r>
    </w:p>
    <w:p w:rsidR="00A219E8" w:rsidRDefault="00A219E8" w:rsidP="003B7B7B">
      <w:pPr>
        <w:keepNext/>
        <w:bidi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</w:pPr>
    </w:p>
    <w:p w:rsidR="00F14EAF" w:rsidRPr="00A219E8" w:rsidRDefault="00EF5C8F" w:rsidP="003B7B7B">
      <w:pPr>
        <w:keepNext/>
        <w:bidi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</w:pPr>
      <w:r w:rsidRPr="00A219E8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تطور سعر الصرف – </w:t>
      </w:r>
      <w:r w:rsidR="00A219E8">
        <w:rPr>
          <w:rFonts w:asciiTheme="minorBidi" w:hAnsiTheme="minorBidi" w:cstheme="minorBidi" w:hint="cs"/>
          <w:b/>
          <w:bCs/>
          <w:color w:val="1F497D" w:themeColor="text2"/>
          <w:sz w:val="24"/>
          <w:szCs w:val="24"/>
          <w:rtl/>
          <w:lang w:bidi="ar-SA"/>
        </w:rPr>
        <w:t>ارتفاع</w:t>
      </w:r>
      <w:r w:rsidRPr="00A219E8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 قيمة الشيكل </w:t>
      </w:r>
      <w:r w:rsidR="00A219E8">
        <w:rPr>
          <w:rFonts w:asciiTheme="minorBidi" w:hAnsiTheme="minorBidi" w:cstheme="minorBidi" w:hint="cs"/>
          <w:b/>
          <w:bCs/>
          <w:color w:val="1F497D" w:themeColor="text2"/>
          <w:sz w:val="24"/>
          <w:szCs w:val="24"/>
          <w:rtl/>
          <w:lang w:bidi="ar-SA"/>
        </w:rPr>
        <w:t xml:space="preserve">وارتفاع </w:t>
      </w:r>
      <w:r w:rsidR="00A219E8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قيمة الدولار </w:t>
      </w:r>
      <w:r w:rsidR="00A219E8">
        <w:rPr>
          <w:rFonts w:asciiTheme="minorBidi" w:hAnsiTheme="minorBidi" w:cstheme="minorBidi" w:hint="cs"/>
          <w:b/>
          <w:bCs/>
          <w:color w:val="1F497D" w:themeColor="text2"/>
          <w:sz w:val="24"/>
          <w:szCs w:val="24"/>
          <w:rtl/>
          <w:lang w:bidi="ar-SA"/>
        </w:rPr>
        <w:t>في العالم</w:t>
      </w:r>
      <w:r w:rsidRPr="00A219E8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>.</w:t>
      </w:r>
    </w:p>
    <w:p w:rsidR="00404881" w:rsidRPr="00F14EAF" w:rsidRDefault="00404881" w:rsidP="003B7B7B">
      <w:pPr>
        <w:keepNext/>
        <w:bidi/>
        <w:rPr>
          <w:rFonts w:asciiTheme="minorBidi" w:hAnsiTheme="minorBidi" w:cstheme="minorBidi"/>
          <w:rtl/>
        </w:rPr>
      </w:pPr>
    </w:p>
    <w:p w:rsidR="00F14EAF" w:rsidRPr="00F14EAF" w:rsidRDefault="00EF5C8F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خلال الربع الرابع، ارتفع الشيكل مقابل الدولار بنحو 1.7%، 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ومقابل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اليورو بنحو 8.6%. بالإضافة إلى ذلك، ارتفع الشيكل بنسبة 6.1% مقابل عملات 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الشركاء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التجاريين الرئيسيين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لاسرائيل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، وذلك وفقًا لمؤشر سعر الصرف الفعلي الاسمي.</w:t>
      </w:r>
    </w:p>
    <w:p w:rsidR="00825944" w:rsidRDefault="00EF5C8F" w:rsidP="003B7B7B">
      <w:pPr>
        <w:keepNext/>
        <w:bidi/>
        <w:spacing w:line="480" w:lineRule="auto"/>
        <w:ind w:right="-101"/>
        <w:jc w:val="both"/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على الصعيد العالمي، ارتفع سعر الدولار مق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ابل معظم العملات الرئيسية (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الشكل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2). من بين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ها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ارتفع الدولار بنحو 9.9% مقابل الين الياباني، وبنحو 7.5% مقابل اليورو.</w:t>
      </w:r>
    </w:p>
    <w:p w:rsidR="004B5E32" w:rsidRPr="00F14EAF" w:rsidRDefault="00EF5C8F" w:rsidP="003B7B7B">
      <w:pPr>
        <w:keepNext/>
        <w:bidi/>
        <w:spacing w:line="480" w:lineRule="auto"/>
        <w:ind w:right="-101"/>
        <w:jc w:val="center"/>
        <w:rPr>
          <w:rFonts w:asciiTheme="minorBidi" w:hAnsiTheme="minorBidi" w:cstheme="minorBidi"/>
          <w:color w:val="000000" w:themeColor="text1"/>
          <w:sz w:val="24"/>
          <w:szCs w:val="24"/>
          <w:rtl/>
          <w:lang w:bidi="ar-SA"/>
        </w:rPr>
      </w:pPr>
      <w:r w:rsidRPr="004B5E32">
        <w:rPr>
          <w:noProof/>
          <w:lang w:eastAsia="en-US"/>
        </w:rPr>
        <w:drawing>
          <wp:inline distT="0" distB="0" distL="0" distR="0">
            <wp:extent cx="3605981" cy="23572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8619" cy="235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AF" w:rsidRPr="004B5E32" w:rsidRDefault="00EF5C8F" w:rsidP="003B7B7B">
      <w:pPr>
        <w:keepNext/>
        <w:bidi/>
        <w:spacing w:line="360" w:lineRule="auto"/>
        <w:ind w:right="-101"/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</w:pP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>تقلب</w:t>
      </w:r>
      <w:r w:rsidR="00A219E8"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ات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 </w:t>
      </w:r>
      <w:r w:rsidR="00A219E8"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سعر الصرف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 xml:space="preserve"> - انخفاض في الانحراف المعياري الفعلي </w:t>
      </w:r>
      <w:r w:rsidR="00A219E8" w:rsidRPr="004B5E32">
        <w:rPr>
          <w:rFonts w:asciiTheme="minorBidi" w:hAnsiTheme="minorBidi" w:cs="Arial" w:hint="cs"/>
          <w:b/>
          <w:bCs/>
          <w:color w:val="1F497D" w:themeColor="text2"/>
          <w:sz w:val="24"/>
          <w:szCs w:val="24"/>
          <w:rtl/>
          <w:lang w:bidi="ar-SA"/>
        </w:rPr>
        <w:t>و</w:t>
      </w:r>
      <w:r w:rsidRPr="004B5E32">
        <w:rPr>
          <w:rFonts w:asciiTheme="minorBidi" w:hAnsiTheme="minorBidi" w:cs="Arial"/>
          <w:b/>
          <w:bCs/>
          <w:color w:val="1F497D" w:themeColor="text2"/>
          <w:sz w:val="24"/>
          <w:szCs w:val="24"/>
          <w:rtl/>
          <w:lang w:bidi="ar-SA"/>
        </w:rPr>
        <w:t>انخفاض في الانحراف المعياري الضمني</w:t>
      </w:r>
    </w:p>
    <w:p w:rsidR="00A219E8" w:rsidRDefault="00A219E8" w:rsidP="003B7B7B">
      <w:pPr>
        <w:keepNext/>
        <w:bidi/>
        <w:spacing w:line="360" w:lineRule="auto"/>
        <w:ind w:right="-101"/>
        <w:rPr>
          <w:rFonts w:asciiTheme="minorBidi" w:hAnsiTheme="minorBidi" w:cs="Arial"/>
          <w:color w:val="1F497D" w:themeColor="text2"/>
          <w:sz w:val="24"/>
          <w:szCs w:val="24"/>
          <w:rtl/>
          <w:lang w:bidi="ar-SA"/>
        </w:rPr>
      </w:pPr>
    </w:p>
    <w:p w:rsidR="00A219E8" w:rsidRDefault="00EF5C8F" w:rsidP="003B7B7B">
      <w:pPr>
        <w:keepNext/>
        <w:bidi/>
        <w:spacing w:line="360" w:lineRule="auto"/>
        <w:ind w:right="-101"/>
        <w:jc w:val="center"/>
        <w:rPr>
          <w:rFonts w:asciiTheme="minorBidi" w:hAnsiTheme="minorBidi" w:cs="Arial"/>
          <w:color w:val="1F497D" w:themeColor="text2"/>
          <w:sz w:val="24"/>
          <w:szCs w:val="24"/>
          <w:rtl/>
          <w:lang w:bidi="ar-SA"/>
        </w:rPr>
      </w:pPr>
      <w:r w:rsidRPr="00DC7F36">
        <w:rPr>
          <w:noProof/>
          <w:lang w:eastAsia="en-US"/>
        </w:rPr>
        <w:drawing>
          <wp:inline distT="0" distB="0" distL="0" distR="0">
            <wp:extent cx="3679443" cy="24039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178" cy="240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E8" w:rsidRDefault="00A219E8" w:rsidP="003B7B7B">
      <w:pPr>
        <w:keepNext/>
        <w:bidi/>
        <w:spacing w:line="360" w:lineRule="auto"/>
        <w:ind w:right="-101"/>
        <w:rPr>
          <w:rFonts w:asciiTheme="minorBidi" w:hAnsiTheme="minorBidi" w:cs="Arial"/>
          <w:color w:val="1F497D" w:themeColor="text2"/>
          <w:sz w:val="24"/>
          <w:szCs w:val="24"/>
          <w:rtl/>
          <w:lang w:bidi="ar-SA"/>
        </w:rPr>
      </w:pPr>
    </w:p>
    <w:p w:rsidR="00A219E8" w:rsidRDefault="00A219E8" w:rsidP="003B7B7B">
      <w:pPr>
        <w:keepNext/>
        <w:bidi/>
        <w:spacing w:line="360" w:lineRule="auto"/>
        <w:ind w:right="-101"/>
        <w:rPr>
          <w:rFonts w:asciiTheme="minorBidi" w:hAnsiTheme="minorBidi" w:cs="Arial"/>
          <w:color w:val="1F497D" w:themeColor="text2"/>
          <w:sz w:val="24"/>
          <w:szCs w:val="24"/>
          <w:rtl/>
          <w:lang w:bidi="ar-SA"/>
        </w:rPr>
      </w:pPr>
    </w:p>
    <w:p w:rsidR="00A219E8" w:rsidRPr="00F14EAF" w:rsidRDefault="00A219E8" w:rsidP="003B7B7B">
      <w:pPr>
        <w:keepNext/>
        <w:bidi/>
        <w:spacing w:line="360" w:lineRule="auto"/>
        <w:ind w:right="-101"/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</w:pPr>
    </w:p>
    <w:p w:rsidR="00404881" w:rsidRPr="00F14EAF" w:rsidRDefault="00404881" w:rsidP="003B7B7B">
      <w:pPr>
        <w:keepNext/>
        <w:bidi/>
        <w:rPr>
          <w:rFonts w:asciiTheme="minorBidi" w:hAnsiTheme="minorBidi" w:cstheme="minorBidi"/>
          <w:color w:val="000000" w:themeColor="text1"/>
          <w:rtl/>
        </w:rPr>
      </w:pPr>
    </w:p>
    <w:p w:rsidR="00F14EAF" w:rsidRPr="00F14EAF" w:rsidRDefault="00EF5C8F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انخفض متوسط ​​الانحراف المعياري لتغير سعر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صرف الشيكل/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الدولار – والذي يمثل التقلب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الفعلي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في سعر الصرف – خلال الربع بنحو 0.2 نقطة مئوية إلى مستوى متوسط ​​قدره 9.9%.</w:t>
      </w:r>
    </w:p>
    <w:p w:rsidR="00F14EAF" w:rsidRPr="00F14EAF" w:rsidRDefault="00EF5C8F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انخفض الانحراف المعياري الكامن في الخيارات على سعر صرف الشيكل/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الدولار المتداول "خارج البورصة" - والذي يمثل التقلب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المتوقع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في سعر الص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رف - بنحو 0.7% وبلغ متوسطه -10.2% في نهاية الربع.</w:t>
      </w:r>
    </w:p>
    <w:p w:rsidR="00F14EAF" w:rsidRPr="00F14EAF" w:rsidRDefault="00EF5C8F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bidi="ar-SA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يتناقض 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ذلك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مع متوسط ​​مستوى الانحراف المعياري الضمني لخيارات 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النقد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الأجنبي في الأسواق الناشئة، والذي ارتفع بمقدار 0.7 نقطة مئوية مقارنة بالربع السابق، ليصل إلى 11% بنهاية الربع. كما سُجِّلت زيادة مماثلة في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متوسط ​​مستوى هذا الانحراف المعياري في الأسواق المتقدمة، والذي بلغ 8.1% بنهاية الربع (الشكل 4).</w:t>
      </w:r>
    </w:p>
    <w:p w:rsidR="00E72E16" w:rsidRDefault="00E72E16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noProof/>
          <w:color w:val="000000" w:themeColor="text1"/>
          <w:sz w:val="24"/>
          <w:szCs w:val="24"/>
          <w:rtl/>
          <w:lang w:eastAsia="en-US" w:bidi="ar-SA"/>
        </w:rPr>
      </w:pPr>
    </w:p>
    <w:p w:rsidR="00DC7F36" w:rsidRPr="00F14EAF" w:rsidRDefault="00EF5C8F" w:rsidP="003B7B7B">
      <w:pPr>
        <w:keepNext/>
        <w:bidi/>
        <w:spacing w:line="480" w:lineRule="auto"/>
        <w:ind w:right="-101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4608871" cy="3012836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2243" cy="301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16" w:rsidRPr="00F14EAF" w:rsidRDefault="00E72E16" w:rsidP="003B7B7B">
      <w:pPr>
        <w:keepNext/>
        <w:bidi/>
        <w:spacing w:line="480" w:lineRule="auto"/>
        <w:ind w:right="-101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</w:p>
    <w:p w:rsidR="00345945" w:rsidRPr="00F14EAF" w:rsidRDefault="00EF5C8F" w:rsidP="003B7B7B">
      <w:pPr>
        <w:keepNext/>
        <w:bidi/>
        <w:jc w:val="center"/>
        <w:rPr>
          <w:rFonts w:asciiTheme="minorBidi" w:hAnsiTheme="minorBidi" w:cstheme="minorBidi"/>
          <w:noProof/>
          <w:lang w:eastAsia="en-US"/>
        </w:rPr>
      </w:pPr>
      <w:r w:rsidRPr="00DC7F36">
        <w:rPr>
          <w:noProof/>
          <w:lang w:eastAsia="en-US"/>
        </w:rPr>
        <w:drawing>
          <wp:inline distT="0" distB="0" distL="0" distR="0">
            <wp:extent cx="4092678" cy="267397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496" cy="267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39" w:rsidRPr="00F14EAF" w:rsidRDefault="00EF5C8F" w:rsidP="003B7B7B">
      <w:pPr>
        <w:keepNext/>
        <w:spacing w:after="200" w:line="276" w:lineRule="auto"/>
        <w:jc w:val="center"/>
        <w:rPr>
          <w:rFonts w:asciiTheme="minorBidi" w:hAnsiTheme="minorBidi" w:cstheme="minorBidi"/>
          <w:b/>
          <w:bCs/>
          <w:color w:val="1F497D" w:themeColor="text2"/>
          <w:sz w:val="24"/>
          <w:szCs w:val="24"/>
        </w:rPr>
      </w:pPr>
      <w:r w:rsidRPr="00F14EAF">
        <w:rPr>
          <w:rFonts w:asciiTheme="minorBidi" w:hAnsiTheme="minorBidi" w:cstheme="minorBidi"/>
          <w:color w:val="1F497D" w:themeColor="text2"/>
          <w:sz w:val="24"/>
          <w:szCs w:val="24"/>
          <w:rtl/>
        </w:rPr>
        <w:br w:type="page"/>
      </w:r>
    </w:p>
    <w:p w:rsidR="00193994" w:rsidRDefault="00EF5C8F" w:rsidP="003B7B7B">
      <w:pPr>
        <w:pStyle w:val="Heading1"/>
        <w:bidi/>
        <w:spacing w:line="360" w:lineRule="auto"/>
        <w:rPr>
          <w:rFonts w:asciiTheme="minorBidi" w:eastAsia="Times New Roman" w:hAnsiTheme="minorBidi" w:cstheme="minorBidi"/>
          <w:color w:val="1F497D" w:themeColor="text2"/>
          <w:sz w:val="24"/>
          <w:szCs w:val="24"/>
          <w:rtl/>
          <w:lang w:bidi="ar-SA"/>
        </w:rPr>
      </w:pPr>
      <w:r w:rsidRPr="00A219E8"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lastRenderedPageBreak/>
        <w:t xml:space="preserve">نشاط القطاعات الرئيسية في سوق </w:t>
      </w:r>
      <w:r w:rsidRPr="00A219E8">
        <w:rPr>
          <w:rFonts w:asciiTheme="minorBidi" w:hAnsiTheme="minorBidi" w:cstheme="minorBidi" w:hint="cs"/>
          <w:color w:val="1F497D" w:themeColor="text2"/>
          <w:sz w:val="24"/>
          <w:szCs w:val="24"/>
          <w:rtl/>
          <w:lang w:bidi="ar-SA"/>
        </w:rPr>
        <w:t>النقد</w:t>
      </w:r>
      <w:r w:rsidRPr="00A219E8">
        <w:rPr>
          <w:rFonts w:asciiTheme="minorBidi" w:hAnsiTheme="minorBidi" w:cstheme="minorBidi"/>
          <w:color w:val="1F497D" w:themeColor="text2"/>
          <w:sz w:val="24"/>
          <w:szCs w:val="24"/>
          <w:rtl/>
          <w:lang w:bidi="ar-SA"/>
        </w:rPr>
        <w:t xml:space="preserve"> الأجنبي</w:t>
      </w:r>
      <w:r w:rsidRPr="00F14EAF">
        <w:rPr>
          <w:rStyle w:val="FootnoteReference"/>
          <w:rFonts w:asciiTheme="minorBidi" w:eastAsia="Times New Roman" w:hAnsiTheme="minorBidi" w:cstheme="minorBidi"/>
          <w:color w:val="1F497D" w:themeColor="text2"/>
          <w:sz w:val="24"/>
          <w:szCs w:val="24"/>
          <w:rtl/>
        </w:rPr>
        <w:t xml:space="preserve"> </w:t>
      </w:r>
      <w:r>
        <w:rPr>
          <w:rStyle w:val="FootnoteReference"/>
          <w:rFonts w:asciiTheme="minorBidi" w:eastAsia="Times New Roman" w:hAnsiTheme="minorBidi" w:cstheme="minorBidi"/>
          <w:color w:val="1F497D" w:themeColor="text2"/>
          <w:sz w:val="24"/>
          <w:szCs w:val="24"/>
          <w:rtl/>
        </w:rPr>
        <w:footnoteReference w:id="1"/>
      </w:r>
      <w:r>
        <w:rPr>
          <w:rStyle w:val="FootnoteReference"/>
          <w:rFonts w:asciiTheme="minorBidi" w:eastAsia="Times New Roman" w:hAnsiTheme="minorBidi" w:cstheme="minorBidi"/>
          <w:color w:val="1F497D" w:themeColor="text2"/>
          <w:sz w:val="24"/>
          <w:szCs w:val="24"/>
          <w:rtl/>
        </w:rPr>
        <w:footnoteReference w:id="2"/>
      </w:r>
    </w:p>
    <w:p w:rsidR="00F14EAF" w:rsidRPr="00A219E8" w:rsidRDefault="00F14EAF" w:rsidP="003B7B7B">
      <w:pPr>
        <w:keepNext/>
        <w:bidi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sectPr w:rsidR="00F14EAF" w:rsidRPr="00A219E8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</w:p>
    <w:p w:rsidR="00193994" w:rsidRPr="00F14EAF" w:rsidRDefault="00193994" w:rsidP="003B7B7B">
      <w:pPr>
        <w:keepNext/>
        <w:tabs>
          <w:tab w:val="left" w:pos="2047"/>
        </w:tabs>
        <w:rPr>
          <w:rFonts w:asciiTheme="minorBidi" w:hAnsiTheme="minorBidi" w:cstheme="minorBidi"/>
          <w:rtl/>
          <w:lang w:bidi="ar-SA"/>
        </w:rPr>
        <w:sectPr w:rsidR="00193994" w:rsidRPr="00F14EAF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</w:p>
    <w:p w:rsidR="00F14EAF" w:rsidRDefault="00EF5C8F" w:rsidP="003B7B7B">
      <w:pPr>
        <w:keepNext/>
        <w:bidi/>
        <w:spacing w:line="480" w:lineRule="auto"/>
        <w:jc w:val="both"/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lastRenderedPageBreak/>
        <w:t xml:space="preserve">تشير تقديرات نشاط القطاعات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u w:val="single"/>
          <w:rtl/>
          <w:lang w:bidi="ar-SA"/>
        </w:rPr>
        <w:t>الرئيسية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في سوق </w:t>
      </w:r>
      <w:r w:rsidR="00A219E8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النقد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الأجنبي إلى أنه خلال الربع الرابع،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باعت المؤسسات (صناديق التقاعد، وصناديق الاستثمار المشترك، وشركات التأمين) والمقيمين الأجانب </w:t>
      </w:r>
      <w:r w:rsidR="00A219E8" w:rsidRP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نقداً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A219E8" w:rsidRP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أجنبياً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بقيمة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4.9 و4.4 مليار دولار على التوالي، في حين اشترى قطاع الأعمال </w:t>
      </w:r>
      <w:r w:rsid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والقطاع المالي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نقداً أجنبياً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A219E8">
        <w:rPr>
          <w:rFonts w:asciiTheme="minorBidi" w:hAnsiTheme="minorBidi" w:cs="Arial" w:hint="cs"/>
          <w:b/>
          <w:bCs/>
          <w:color w:val="000000" w:themeColor="text1"/>
          <w:sz w:val="24"/>
          <w:szCs w:val="24"/>
          <w:rtl/>
          <w:lang w:bidi="ar-SA"/>
        </w:rPr>
        <w:t>بقيمة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4.7 ​​و1.2 مليار دولار على التوالي.</w:t>
      </w:r>
    </w:p>
    <w:p w:rsidR="00DC7F36" w:rsidRDefault="00DC7F36" w:rsidP="003B7B7B">
      <w:pPr>
        <w:keepNext/>
        <w:bidi/>
        <w:spacing w:line="480" w:lineRule="auto"/>
        <w:jc w:val="both"/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</w:pPr>
    </w:p>
    <w:p w:rsidR="00DC7F36" w:rsidRDefault="00EF5C8F" w:rsidP="003B7B7B">
      <w:pPr>
        <w:keepNext/>
        <w:bidi/>
        <w:spacing w:line="480" w:lineRule="auto"/>
        <w:jc w:val="center"/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</w:pPr>
      <w:r w:rsidRPr="003B7B7B">
        <w:rPr>
          <w:noProof/>
          <w:lang w:eastAsia="en-US"/>
        </w:rPr>
        <w:drawing>
          <wp:inline distT="0" distB="0" distL="0" distR="0">
            <wp:extent cx="4350774" cy="284260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1645" cy="28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36" w:rsidRDefault="00EF5C8F" w:rsidP="003B7B7B">
      <w:pPr>
        <w:keepNext/>
        <w:bidi/>
        <w:spacing w:line="480" w:lineRule="auto"/>
        <w:jc w:val="center"/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</w:pPr>
      <w:r w:rsidRPr="00DC7F36">
        <w:rPr>
          <w:noProof/>
          <w:lang w:eastAsia="en-US"/>
        </w:rPr>
        <w:drawing>
          <wp:inline distT="0" distB="0" distL="0" distR="0">
            <wp:extent cx="4564626" cy="2982328"/>
            <wp:effectExtent l="0" t="0" r="762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5539" cy="29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36" w:rsidRPr="00A219E8" w:rsidRDefault="00DC7F36" w:rsidP="003B7B7B">
      <w:pPr>
        <w:keepNext/>
        <w:bidi/>
        <w:spacing w:line="480" w:lineRule="auto"/>
        <w:jc w:val="both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SA"/>
        </w:rPr>
      </w:pPr>
    </w:p>
    <w:p w:rsidR="00A219E8" w:rsidRPr="00A219E8" w:rsidRDefault="00EF5C8F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أحجام </w:t>
      </w:r>
      <w:r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>التداول – جداول و</w:t>
      </w:r>
      <w:r w:rsidRPr="00A219E8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>رسوم بيانية</w:t>
      </w:r>
    </w:p>
    <w:p w:rsidR="00024BD1" w:rsidRPr="00F14EAF" w:rsidRDefault="00EF5C8F" w:rsidP="003B7B7B">
      <w:pPr>
        <w:pStyle w:val="Heading2"/>
        <w:bidi/>
        <w:rPr>
          <w:rFonts w:asciiTheme="minorBidi" w:hAnsiTheme="minorBidi" w:cstheme="minorBidi"/>
          <w:sz w:val="24"/>
          <w:szCs w:val="24"/>
          <w:rtl/>
        </w:rPr>
      </w:pPr>
      <w:r w:rsidRPr="00A219E8">
        <w:rPr>
          <w:rFonts w:asciiTheme="minorBidi" w:hAnsiTheme="minorBidi" w:cstheme="minorBidi"/>
          <w:sz w:val="24"/>
          <w:szCs w:val="24"/>
          <w:rtl/>
          <w:lang w:bidi="ar-SA"/>
        </w:rPr>
        <w:t>حجم التداول مع النظام المصرفي المحلي</w:t>
      </w:r>
      <w:r w:rsidRPr="00F14EAF">
        <w:rPr>
          <w:rFonts w:asciiTheme="minorBidi" w:hAnsiTheme="minorBidi" w:cstheme="minorBidi"/>
          <w:vertAlign w:val="superscript"/>
          <w:rtl/>
        </w:rPr>
        <w:t xml:space="preserve"> </w:t>
      </w:r>
      <w:r>
        <w:rPr>
          <w:rFonts w:asciiTheme="minorBidi" w:hAnsiTheme="minorBidi" w:cstheme="minorBidi"/>
          <w:vertAlign w:val="superscript"/>
          <w:rtl/>
        </w:rPr>
        <w:footnoteReference w:id="3"/>
      </w:r>
    </w:p>
    <w:p w:rsidR="00024BD1" w:rsidRPr="00F14EAF" w:rsidRDefault="00024BD1" w:rsidP="003B7B7B">
      <w:pPr>
        <w:keepNext/>
        <w:bidi/>
        <w:rPr>
          <w:rFonts w:asciiTheme="minorBidi" w:hAnsiTheme="minorBidi" w:cstheme="minorBidi"/>
          <w:rtl/>
        </w:rPr>
      </w:pPr>
    </w:p>
    <w:p w:rsidR="00F14EAF" w:rsidRPr="00F14EAF" w:rsidRDefault="00F14EAF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:rsidR="00F14EAF" w:rsidRDefault="00EF5C8F" w:rsidP="003B7B7B">
      <w:pPr>
        <w:keepNext/>
        <w:bidi/>
        <w:spacing w:line="360" w:lineRule="auto"/>
        <w:jc w:val="both"/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</w:pP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ارتفع متوسط ​​حجم التداول اليومي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خلال الربع بنسبة 0.6% إلى 13.2 مليار دولار، حيث جاء معظم الارتفاع من زيادة حجم التداول اليومي في معاملات المبادلة. 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>وانخفضت الحصة النسبية للمقيمين الأجانب</w:t>
      </w:r>
      <w:r w:rsidRPr="00A219E8">
        <w:rPr>
          <w:rFonts w:asciiTheme="minorBidi" w:hAnsiTheme="minorBidi" w:cs="Arial"/>
          <w:b/>
          <w:bCs/>
          <w:color w:val="000000" w:themeColor="text1"/>
          <w:sz w:val="24"/>
          <w:szCs w:val="24"/>
          <w:rtl/>
          <w:lang w:bidi="ar-SA"/>
        </w:rPr>
        <w:t xml:space="preserve"> في حجم التعاملات مع النظام المصرفي المحلي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 (معاملات التحويل، معاملات الخيارات، معاملات المبادلة) بنحو 2.3% لتصل إلى نحو 41.3% في نهاية الربع الرابع.</w:t>
      </w:r>
    </w:p>
    <w:p w:rsidR="00DC7F36" w:rsidRDefault="00DC7F36" w:rsidP="003B7B7B">
      <w:pPr>
        <w:keepNext/>
        <w:bidi/>
        <w:spacing w:line="360" w:lineRule="auto"/>
        <w:jc w:val="both"/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</w:pPr>
    </w:p>
    <w:p w:rsidR="00DC7F36" w:rsidRPr="00F14EAF" w:rsidRDefault="00EF5C8F" w:rsidP="003B7B7B">
      <w:pPr>
        <w:keepNext/>
        <w:bidi/>
        <w:spacing w:line="36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  <w:rtl/>
          <w:lang w:bidi="ar-SA"/>
        </w:rPr>
      </w:pPr>
      <w:bookmarkStart w:id="0" w:name="_GoBack"/>
      <w:r>
        <w:rPr>
          <w:noProof/>
          <w:lang w:eastAsia="en-US"/>
        </w:rPr>
        <w:drawing>
          <wp:inline distT="0" distB="0" distL="0" distR="0">
            <wp:extent cx="4203291" cy="2746247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4132" cy="274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0BD3" w:rsidRPr="00F14EAF" w:rsidRDefault="00CE0BD3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E86DEA" w:rsidTr="00380659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16" w:rsidRPr="00F14EAF" w:rsidRDefault="00E72E16" w:rsidP="003B7B7B">
            <w:pPr>
              <w:keepNext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F14EAF" w:rsidRDefault="00EF5C8F" w:rsidP="003B7B7B">
            <w:pPr>
              <w:keepNext/>
              <w:bidi/>
              <w:jc w:val="center"/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F14E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 xml:space="preserve">معاملات </w:t>
            </w:r>
            <w:r w:rsidR="00A219E8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  <w:lang w:eastAsia="en-US" w:bidi="ar-SA"/>
              </w:rPr>
              <w:t>النقد</w:t>
            </w:r>
            <w:r w:rsidRPr="00F14E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 xml:space="preserve"> الأجنبي مع البنوك المحلية </w:t>
            </w:r>
            <w:r w:rsidR="00A219E8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  <w:lang w:eastAsia="en-US" w:bidi="ar-SA"/>
              </w:rPr>
              <w:t>ب</w:t>
            </w:r>
            <w:r w:rsidRPr="00F14E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>حسب الأدوات والقطاعات (بملايين الدولارات)</w:t>
            </w:r>
          </w:p>
          <w:p w:rsidR="00F14EAF" w:rsidRPr="00F14EAF" w:rsidRDefault="00F14EA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 w:bidi="ar-SA"/>
              </w:rPr>
            </w:pP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51"/>
              <w:gridCol w:w="3212"/>
              <w:gridCol w:w="894"/>
              <w:gridCol w:w="867"/>
              <w:gridCol w:w="1216"/>
              <w:gridCol w:w="888"/>
              <w:gridCol w:w="1412"/>
            </w:tblGrid>
            <w:tr w:rsidR="00E86DEA" w:rsidTr="00AF52DF">
              <w:trPr>
                <w:trHeight w:val="795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F14EAF" w:rsidRDefault="00EF5C8F" w:rsidP="003B7B7B">
                  <w:pPr>
                    <w:keepNext/>
                    <w:rPr>
                      <w:rFonts w:asciiTheme="minorBidi" w:hAnsiTheme="minorBidi" w:cstheme="minorBidi"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3663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التحويل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(1)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2618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</w:t>
                  </w:r>
                  <w:r>
                    <w:rPr>
                      <w:rFonts w:asciiTheme="minorBidi" w:hAnsiTheme="minorBidi" w:cs="Arial" w:hint="cs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>المبادلة</w:t>
                  </w:r>
                  <w:r w:rsidR="00853663"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="00853663"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</w:p>
                <w:p w:rsidR="00853663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D500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(</w:t>
                  </w:r>
                  <w:r w:rsidRPr="0075228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Swap</w:t>
                  </w:r>
                  <w:r w:rsidRPr="006D500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)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(2)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="00702618"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</w:t>
                  </w:r>
                  <w:r w:rsidR="00702618">
                    <w:rPr>
                      <w:rFonts w:asciiTheme="minorBidi" w:hAnsiTheme="minorBidi" w:cs="Arial" w:hint="cs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>المبادلة</w:t>
                  </w:r>
                  <w:r w:rsidR="00702618"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>معاملات الخيارات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3663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>إجمالي حجم التداول</w:t>
                  </w:r>
                  <w:r w:rsidRPr="006D500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(1)+(2)+(3)+(4)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الرابع</w:t>
                  </w:r>
                  <w:r w:rsidR="005E37F8"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2024  (</w:t>
                  </w:r>
                  <w:r w:rsidR="0039487F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معطى مؤقت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195,028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558,946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1,180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23,124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778,277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37F8" w:rsidRPr="00F14EAF" w:rsidRDefault="005E37F8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الإجمالي (متوسط يومي وفق </w:t>
                  </w:r>
                  <w:r w:rsidR="0039487F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59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 يوم تداول)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3,306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9,474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1" w:name="RANGE!F7"/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392 </w:t>
                  </w:r>
                  <w:bookmarkEnd w:id="1"/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37F8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13,191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المقيمون الأجانب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59,655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321,042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منهم: مؤسسات مالية أجنبية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59,009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253,262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517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7,608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320,395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135,373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305,684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663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15,516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457,235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42,439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22,636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145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7,228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72,448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42,390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151,082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341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1,024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194,837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="00702618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="00702618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27,092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98,810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4,958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130,860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5,238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615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134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5,987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646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647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بنوك محلية</w:t>
                  </w:r>
                  <w:r w:rsidR="00702618" w:rsidRPr="006D5003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10,393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20,160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1,743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32,296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الثالث</w:t>
                  </w:r>
                  <w:r w:rsidR="005E37F8"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2024</w:t>
                  </w: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2" w:name="RANGE!C17"/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210,301 </w:t>
                  </w:r>
                  <w:bookmarkEnd w:id="2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557,502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2,666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29,180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799,650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الإجمالي (متوسط يومي وفق 61 يوم تداول)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3" w:name="RANGE!C18"/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3,448 </w:t>
                  </w:r>
                  <w:bookmarkEnd w:id="3"/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9,139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44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478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13,109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المقيمون الأجانب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70,248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266,837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348,317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منهم: مؤسسات مالية أجنبية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69,577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266,837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736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10,496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347,645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140,053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290,665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1,930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18,684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451,333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42,382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20,162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319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7,162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70,026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43,638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127,361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438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1,020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172,458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="00702618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="00702618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29,388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115,194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453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6,958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151,993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5,692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577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175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6,444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671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671 </w:t>
                  </w:r>
                </w:p>
              </w:tc>
            </w:tr>
            <w:tr w:rsidR="00E86DEA" w:rsidTr="00AF52DF">
              <w:trPr>
                <w:trHeight w:val="210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BF9" w:rsidRPr="00F14EAF" w:rsidRDefault="009A6BF9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702618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بنوك محلية</w:t>
                  </w:r>
                  <w:r w:rsidRPr="00F14E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10,432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17,098 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349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2,761 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BF9" w:rsidRPr="00F14EAF" w:rsidRDefault="00EF5C8F" w:rsidP="003B7B7B">
                  <w:pPr>
                    <w:keepNext/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F14E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30,639 </w:t>
                  </w:r>
                </w:p>
              </w:tc>
            </w:tr>
          </w:tbl>
          <w:p w:rsidR="00853663" w:rsidRPr="00F14EAF" w:rsidRDefault="00853663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86DEA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E86DEA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4391" w:rsidRPr="00F14EAF" w:rsidRDefault="00C84391" w:rsidP="003B7B7B">
            <w:pPr>
              <w:keepNext/>
              <w:jc w:val="center"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E86DEA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EF5C8F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 w:bidi="ar-SA"/>
              </w:rPr>
            </w:pPr>
            <w:r w:rsidRPr="00F14E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F14E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سلسلة واحدة فقط من معاملة </w:t>
            </w:r>
            <w:r w:rsidR="00702618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>المبادلة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، أي القيمة الاسمية للمعاملة</w:t>
            </w:r>
            <w:r w:rsidR="00702618" w:rsidRPr="00D41531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 xml:space="preserve"> (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وفقًا لتعريفات بنك التسويات الدولية</w:t>
            </w:r>
            <w:r w:rsidR="00702618" w:rsidRPr="00D41531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  <w:t>BIS</w:t>
            </w:r>
            <w:r w:rsidR="00702618" w:rsidRPr="00D41531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)</w:t>
            </w:r>
          </w:p>
        </w:tc>
      </w:tr>
      <w:tr w:rsidR="00E86DEA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EF5C8F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r w:rsidRPr="00F14E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="0039487F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سيتم احتساب الصناديق المتبادلة في معاملات</w:t>
            </w:r>
            <w:r w:rsidR="00702618" w:rsidRPr="00D41531">
              <w:rPr>
                <w:rFonts w:ascii="Arial" w:hAnsi="Arial" w:cs="Arial"/>
                <w:sz w:val="12"/>
                <w:szCs w:val="12"/>
              </w:rPr>
              <w:t xml:space="preserve"> Cross Currency Swap 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 xml:space="preserve">لغرض الحجم كسلسلة واحدة فقط، في الحالات التي يتم فيها خصم السلاسل (سيقان </w:t>
            </w:r>
            <w:r w:rsidR="00702618">
              <w:rPr>
                <w:rFonts w:ascii="Arial" w:hAnsi="Arial" w:cs="Arial" w:hint="cs"/>
                <w:sz w:val="12"/>
                <w:szCs w:val="12"/>
                <w:rtl/>
                <w:lang w:bidi="ar-SA"/>
              </w:rPr>
              <w:t>المبادلة</w:t>
            </w:r>
            <w:r w:rsidR="00702618" w:rsidRPr="00D41531">
              <w:rPr>
                <w:rFonts w:ascii="Arial" w:hAnsi="Arial" w:cs="Arial"/>
                <w:sz w:val="12"/>
                <w:szCs w:val="12"/>
                <w:rtl/>
                <w:lang w:bidi="ar-SA"/>
              </w:rPr>
              <w:t>) من بعضهما البعض</w:t>
            </w:r>
            <w:r w:rsidR="00702618" w:rsidRPr="006D5003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</w:p>
        </w:tc>
      </w:tr>
      <w:tr w:rsidR="00E86DEA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EF5C8F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4" w:name="RANGE!B31"/>
            <w:r w:rsidRPr="00F14E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F14E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bookmarkEnd w:id="4"/>
            <w:r w:rsidR="00702618" w:rsidRPr="00D41531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الـ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National value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  <w:r w:rsidR="00702618" w:rsidRPr="00D41531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القيمة الوطنية الإجمالية لمعاملات 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Call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702618" w:rsidRPr="00D41531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و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702618" w:rsidRPr="00D41531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Put</w:t>
            </w:r>
            <w:r w:rsidR="00702618" w:rsidRPr="006D5003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</w:p>
        </w:tc>
      </w:tr>
      <w:tr w:rsidR="00E86DEA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EF5C8F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5" w:name="RANGE!B32"/>
            <w:r w:rsidRPr="00F14E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bookmarkEnd w:id="5"/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يشمل </w:t>
            </w:r>
            <w:r w:rsidR="00702618" w:rsidRPr="00D41531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هيئات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مثل مديري </w:t>
            </w:r>
            <w:r w:rsidR="00702618" w:rsidRPr="00D41531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المحافظ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والمنظمات غير الربحية والمؤسسات الوطنية وتلك غير المدرجة في </w:t>
            </w:r>
            <w:r w:rsidR="00702618" w:rsidRPr="00D41531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البنود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الأخرى</w:t>
            </w:r>
            <w:r w:rsidR="00702618" w:rsidRPr="006D5003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</w:p>
        </w:tc>
      </w:tr>
      <w:tr w:rsidR="00E86DEA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C84391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91" w:rsidRPr="00F14EAF" w:rsidRDefault="00EF5C8F" w:rsidP="003B7B7B">
            <w:pPr>
              <w:keepNext/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6" w:name="RANGE!B33"/>
            <w:r w:rsidRPr="00F14EAF">
              <w:rPr>
                <w:rFonts w:asciiTheme="minorBidi" w:hAnsiTheme="minorBidi" w:cstheme="minorBidi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F14E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bookmarkEnd w:id="6"/>
            <w:r w:rsidR="00702618" w:rsidRPr="00D41531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 xml:space="preserve">يتم تقسيم 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إجمالي </w:t>
            </w:r>
            <w:r w:rsidR="00702618" w:rsidRPr="00D41531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التداول</w:t>
            </w:r>
            <w:r w:rsidR="00702618" w:rsidRPr="00D41531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بين البنوك على اثنين</w:t>
            </w:r>
            <w:r w:rsidR="00702618" w:rsidRPr="006D5003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</w:p>
        </w:tc>
      </w:tr>
    </w:tbl>
    <w:p w:rsidR="00975999" w:rsidRPr="00F14EAF" w:rsidRDefault="00975999" w:rsidP="003B7B7B">
      <w:pPr>
        <w:pStyle w:val="Heading2"/>
        <w:bidi/>
        <w:rPr>
          <w:rFonts w:asciiTheme="minorBidi" w:hAnsiTheme="minorBidi" w:cstheme="minorBidi"/>
          <w:sz w:val="24"/>
          <w:szCs w:val="24"/>
          <w:rtl/>
        </w:rPr>
      </w:pPr>
    </w:p>
    <w:p w:rsidR="008A0B63" w:rsidRPr="00F14EAF" w:rsidRDefault="008A0B63" w:rsidP="003B7B7B">
      <w:pPr>
        <w:pStyle w:val="Heading2"/>
        <w:bidi/>
        <w:rPr>
          <w:rFonts w:asciiTheme="minorBidi" w:hAnsiTheme="minorBidi" w:cstheme="minorBidi"/>
          <w:sz w:val="24"/>
          <w:szCs w:val="24"/>
          <w:rtl/>
        </w:rPr>
      </w:pPr>
    </w:p>
    <w:p w:rsidR="007306CA" w:rsidRPr="00F14EAF" w:rsidRDefault="00EF5C8F" w:rsidP="003B7B7B">
      <w:pPr>
        <w:pStyle w:val="Heading2"/>
        <w:bidi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F14EAF">
        <w:rPr>
          <w:rFonts w:asciiTheme="minorBidi" w:hAnsiTheme="minorBidi" w:cs="Arial"/>
          <w:sz w:val="24"/>
          <w:szCs w:val="24"/>
          <w:rtl/>
          <w:lang w:bidi="ar-SA"/>
        </w:rPr>
        <w:t xml:space="preserve">تقدير </w:t>
      </w:r>
      <w:r w:rsidRPr="00F14EAF">
        <w:rPr>
          <w:rFonts w:asciiTheme="minorBidi" w:hAnsiTheme="minorBidi" w:cs="Arial"/>
          <w:sz w:val="24"/>
          <w:szCs w:val="24"/>
          <w:rtl/>
          <w:lang w:bidi="ar-SA"/>
        </w:rPr>
        <w:t>إجمالي حجم التداول</w:t>
      </w:r>
      <w:r w:rsidRPr="00F14EAF">
        <w:rPr>
          <w:rStyle w:val="FootnoteReference"/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4"/>
      </w:r>
      <w:r w:rsidRPr="00F14EAF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="00F14EAF" w:rsidRPr="00F14EAF">
        <w:rPr>
          <w:rFonts w:asciiTheme="minorBidi" w:hAnsiTheme="minorBidi" w:cs="Arial"/>
          <w:sz w:val="24"/>
          <w:szCs w:val="24"/>
          <w:rtl/>
          <w:lang w:bidi="ar-SA"/>
        </w:rPr>
        <w:t xml:space="preserve">النظام المصرفي المحلي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والمصادر الأجنبية</w:t>
      </w:r>
    </w:p>
    <w:p w:rsidR="007306CA" w:rsidRPr="00F14EAF" w:rsidRDefault="007306CA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F14EAF" w:rsidRPr="00F14EAF" w:rsidRDefault="00EF5C8F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color w:val="000000" w:themeColor="text1"/>
          <w:sz w:val="24"/>
          <w:szCs w:val="24"/>
          <w:rtl/>
          <w:lang w:bidi="ar-SA"/>
        </w:rPr>
      </w:pP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lastRenderedPageBreak/>
        <w:t xml:space="preserve">تشير تقديرات إجمالي نشاط المعاملات مقابل الشيكل، </w:t>
      </w:r>
      <w:r w:rsidR="0039487F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التي تعكسها تقارير الجهاز المصرفي المحلي </w:t>
      </w:r>
      <w:r w:rsidR="0039487F">
        <w:rPr>
          <w:rFonts w:asciiTheme="minorBidi" w:hAnsiTheme="minorBidi" w:cs="Arial" w:hint="cs"/>
          <w:color w:val="000000" w:themeColor="text1"/>
          <w:sz w:val="24"/>
          <w:szCs w:val="24"/>
          <w:rtl/>
          <w:lang w:bidi="ar-SA"/>
        </w:rPr>
        <w:t>والمصادر الأجنبية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 xml:space="preserve">، إلى أن الحصة النسبية لغير المقيمين في حجم التداول في معاملات التحويل (باستثناء </w:t>
      </w:r>
      <w:r w:rsidRPr="00F14EAF">
        <w:rPr>
          <w:rFonts w:asciiTheme="minorBidi" w:hAnsiTheme="minorBidi" w:cs="Arial"/>
          <w:color w:val="000000" w:themeColor="text1"/>
          <w:sz w:val="24"/>
          <w:szCs w:val="24"/>
          <w:rtl/>
          <w:lang w:bidi="ar-SA"/>
        </w:rPr>
        <w:t>معاملات المبادلة والخيارات) بلغت نحو 84% في الربع الرابع، حيث شكلت التجارة بين الأجانب نحو 74% من الحجم، والذي بلغ متوسطه اليومي نحو 13 مليار دولار.</w:t>
      </w:r>
    </w:p>
    <w:p w:rsidR="00AE755B" w:rsidRPr="00F14EAF" w:rsidRDefault="00AE755B" w:rsidP="003B7B7B">
      <w:pPr>
        <w:keepNext/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10160" w:type="dxa"/>
        <w:tblLook w:val="04A0" w:firstRow="1" w:lastRow="0" w:firstColumn="1" w:lastColumn="0" w:noHBand="0" w:noVBand="1"/>
      </w:tblPr>
      <w:tblGrid>
        <w:gridCol w:w="3428"/>
        <w:gridCol w:w="996"/>
        <w:gridCol w:w="995"/>
        <w:gridCol w:w="997"/>
        <w:gridCol w:w="1038"/>
        <w:gridCol w:w="1412"/>
        <w:gridCol w:w="1294"/>
      </w:tblGrid>
      <w:tr w:rsidR="00E86DEA" w:rsidTr="00C246E7">
        <w:trPr>
          <w:trHeight w:val="315"/>
        </w:trPr>
        <w:tc>
          <w:tcPr>
            <w:tcW w:w="34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30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الحصة النسبية من اجمالي حجم التداول</w:t>
            </w:r>
          </w:p>
        </w:tc>
        <w:tc>
          <w:tcPr>
            <w:tcW w:w="14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إجمالي الحجم</w:t>
            </w: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 xml:space="preserve"> (</w:t>
            </w: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ملايين</w:t>
            </w: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 xml:space="preserve"> $)</w:t>
            </w:r>
          </w:p>
        </w:tc>
        <w:tc>
          <w:tcPr>
            <w:tcW w:w="12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المتوسط اليومي</w:t>
            </w: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 xml:space="preserve"> (</w:t>
            </w: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ملايين</w:t>
            </w: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 xml:space="preserve"> $)</w:t>
            </w:r>
          </w:p>
        </w:tc>
      </w:tr>
      <w:tr w:rsidR="00E86DEA" w:rsidTr="00C246E7">
        <w:trPr>
          <w:trHeight w:val="1515"/>
        </w:trPr>
        <w:tc>
          <w:tcPr>
            <w:tcW w:w="342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التداول بين</w:t>
            </w: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 xml:space="preserve"> الأجانب</w:t>
            </w:r>
          </w:p>
        </w:tc>
        <w:tc>
          <w:tcPr>
            <w:tcW w:w="997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color w:val="0000FF"/>
                <w:u w:val="single"/>
                <w:rtl/>
                <w:lang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التداول بين الأجانب والسوق المحلي</w:t>
            </w:r>
          </w:p>
        </w:tc>
        <w:tc>
          <w:tcPr>
            <w:tcW w:w="1038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5B9BD5"/>
            <w:vAlign w:val="center"/>
            <w:hideMark/>
          </w:tcPr>
          <w:p w:rsidR="003A2C16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/>
                <w:sz w:val="22"/>
                <w:szCs w:val="22"/>
                <w:rtl/>
                <w:lang w:eastAsia="en-US" w:bidi="ar-SA"/>
              </w:rPr>
              <w:t>التداول بين النظام المصرفي المحلي والمقيمين</w:t>
            </w:r>
            <w:r w:rsidRPr="00F14EAF"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4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3A2C16" w:rsidRPr="00F14EAF" w:rsidRDefault="003A2C16" w:rsidP="003B7B7B">
            <w:pPr>
              <w:keepNext/>
              <w:bidi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3A2C16" w:rsidRPr="00F14EAF" w:rsidRDefault="003A2C16" w:rsidP="003B7B7B">
            <w:pPr>
              <w:keepNext/>
              <w:bidi/>
              <w:rPr>
                <w:rFonts w:asciiTheme="minorBidi" w:hAnsiTheme="minorBidi" w:cstheme="minorBid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</w:tr>
      <w:tr w:rsidR="00E86DEA" w:rsidTr="00C246E7">
        <w:trPr>
          <w:trHeight w:val="1215"/>
        </w:trPr>
        <w:tc>
          <w:tcPr>
            <w:tcW w:w="3428" w:type="dxa"/>
            <w:vMerge w:val="restart"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SA"/>
              </w:rPr>
              <w:t>الربع الرابع</w:t>
            </w:r>
            <w:r w:rsidRPr="00F14EA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2024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F14EAF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 w:bidi="ar-SA"/>
              </w:rPr>
            </w:pP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>حجم التداول في معاملات التحويل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74.1%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9.3%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16.6%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793,206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13,003 </w:t>
            </w:r>
          </w:p>
        </w:tc>
      </w:tr>
      <w:tr w:rsidR="00E86DEA" w:rsidTr="00C246E7">
        <w:trPr>
          <w:trHeight w:val="1515"/>
        </w:trPr>
        <w:tc>
          <w:tcPr>
            <w:tcW w:w="3428" w:type="dxa"/>
            <w:vMerge/>
            <w:tcBorders>
              <w:top w:val="nil"/>
              <w:left w:val="single" w:sz="8" w:space="0" w:color="9CC2E5"/>
              <w:bottom w:val="single" w:sz="12" w:space="0" w:color="000000"/>
              <w:right w:val="single" w:sz="8" w:space="0" w:color="9CC2E5"/>
            </w:tcBorders>
            <w:vAlign w:val="center"/>
            <w:hideMark/>
          </w:tcPr>
          <w:p w:rsidR="00C246E7" w:rsidRPr="00F14EAF" w:rsidRDefault="00C246E7" w:rsidP="003B7B7B">
            <w:pPr>
              <w:keepNext/>
              <w:bidi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F14EAF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 w:bidi="ar-SA"/>
              </w:rPr>
            </w:pP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 xml:space="preserve">حجم التداول في </w:t>
            </w:r>
            <w:r w:rsidR="0039487F">
              <w:rPr>
                <w:rFonts w:asciiTheme="minorBidi" w:hAnsiTheme="minorBidi" w:cs="Arial" w:hint="cs"/>
                <w:sz w:val="22"/>
                <w:szCs w:val="22"/>
                <w:rtl/>
                <w:lang w:eastAsia="en-US" w:bidi="ar-SA"/>
              </w:rPr>
              <w:t>معاملات</w:t>
            </w: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 xml:space="preserve"> المبادلة والخيارات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49.0%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24.8%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26.1%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1,211,096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19,854 </w:t>
            </w:r>
          </w:p>
        </w:tc>
      </w:tr>
      <w:tr w:rsidR="00E86DEA" w:rsidTr="00C246E7">
        <w:trPr>
          <w:trHeight w:val="1230"/>
        </w:trPr>
        <w:tc>
          <w:tcPr>
            <w:tcW w:w="3428" w:type="dxa"/>
            <w:vMerge w:val="restart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SA"/>
              </w:rPr>
              <w:t>الربع الثالث</w:t>
            </w:r>
            <w:r w:rsidRPr="00F14EA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2024  </w:t>
            </w: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F14EAF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 w:bidi="ar-SA"/>
              </w:rPr>
            </w:pP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>حجم التداول في معاملات التحويل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73.9%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10.0%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16.2%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844,378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14,311 </w:t>
            </w:r>
          </w:p>
        </w:tc>
      </w:tr>
      <w:tr w:rsidR="00E86DEA" w:rsidTr="00C246E7">
        <w:trPr>
          <w:trHeight w:val="1500"/>
        </w:trPr>
        <w:tc>
          <w:tcPr>
            <w:tcW w:w="3428" w:type="dxa"/>
            <w:vMerge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vAlign w:val="center"/>
            <w:hideMark/>
          </w:tcPr>
          <w:p w:rsidR="00C246E7" w:rsidRPr="00F14EAF" w:rsidRDefault="00C246E7" w:rsidP="003B7B7B">
            <w:pPr>
              <w:keepNext/>
              <w:bidi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F14EAF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 w:bidi="ar-SA"/>
              </w:rPr>
            </w:pP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 xml:space="preserve">حجم التداول في </w:t>
            </w:r>
            <w:r w:rsidR="0039487F">
              <w:rPr>
                <w:rFonts w:asciiTheme="minorBidi" w:hAnsiTheme="minorBidi" w:cs="Arial" w:hint="cs"/>
                <w:sz w:val="22"/>
                <w:szCs w:val="22"/>
                <w:rtl/>
                <w:lang w:eastAsia="en-US" w:bidi="ar-SA"/>
              </w:rPr>
              <w:t>معاملات</w:t>
            </w:r>
            <w:r w:rsidRPr="00F14EAF">
              <w:rPr>
                <w:rFonts w:asciiTheme="minorBidi" w:hAnsiTheme="minorBidi" w:cs="Arial"/>
                <w:sz w:val="22"/>
                <w:szCs w:val="22"/>
                <w:rtl/>
                <w:lang w:eastAsia="en-US" w:bidi="ar-SA"/>
              </w:rPr>
              <w:t xml:space="preserve"> المبادلة والخيارات</w:t>
            </w:r>
          </w:p>
        </w:tc>
        <w:tc>
          <w:tcPr>
            <w:tcW w:w="995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49.2%</w:t>
            </w:r>
          </w:p>
        </w:tc>
        <w:tc>
          <w:tcPr>
            <w:tcW w:w="997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26.4%</w:t>
            </w:r>
          </w:p>
        </w:tc>
        <w:tc>
          <w:tcPr>
            <w:tcW w:w="1038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>24.5%</w:t>
            </w:r>
          </w:p>
        </w:tc>
        <w:tc>
          <w:tcPr>
            <w:tcW w:w="1412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1,253,728 </w:t>
            </w:r>
          </w:p>
        </w:tc>
        <w:tc>
          <w:tcPr>
            <w:tcW w:w="1294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C246E7" w:rsidRPr="00F14EAF" w:rsidRDefault="00EF5C8F" w:rsidP="003B7B7B">
            <w:pPr>
              <w:keepNext/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eastAsia="en-US"/>
              </w:rPr>
            </w:pPr>
            <w:r w:rsidRPr="00F14E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21,250 </w:t>
            </w:r>
          </w:p>
        </w:tc>
      </w:tr>
    </w:tbl>
    <w:p w:rsidR="00AE755B" w:rsidRPr="00F14EAF" w:rsidRDefault="00AE755B" w:rsidP="003B7B7B">
      <w:pPr>
        <w:keepNext/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</w:p>
    <w:sectPr w:rsidR="00AE755B" w:rsidRPr="00F14EAF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C8F">
      <w:r>
        <w:separator/>
      </w:r>
    </w:p>
  </w:endnote>
  <w:endnote w:type="continuationSeparator" w:id="0">
    <w:p w:rsidR="00000000" w:rsidRDefault="00E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EF5C8F" w:rsidP="004F7549">
            <w:pPr>
              <w:pStyle w:val="Footer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 xml:space="preserve">בנק </w:t>
            </w:r>
            <w:r w:rsidRPr="002168C6">
              <w:rPr>
                <w:rFonts w:cs="David" w:hint="cs"/>
                <w:rtl/>
                <w:lang w:val="he-IL"/>
              </w:rPr>
              <w:t>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E16E05">
              <w:rPr>
                <w:rFonts w:cs="David" w:hint="cs"/>
                <w:rtl/>
                <w:lang w:val="he-IL"/>
              </w:rPr>
              <w:t>ה</w:t>
            </w:r>
            <w:r w:rsidR="004F7549">
              <w:rPr>
                <w:rFonts w:cs="David" w:hint="cs"/>
                <w:rtl/>
                <w:lang w:val="he-IL"/>
              </w:rPr>
              <w:t>רביע</w:t>
            </w:r>
            <w:r w:rsidR="00005843">
              <w:rPr>
                <w:rFonts w:cs="David" w:hint="cs"/>
                <w:rtl/>
                <w:lang w:val="he-IL"/>
              </w:rPr>
              <w:t>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</w:t>
            </w:r>
            <w:r w:rsidR="00875863">
              <w:rPr>
                <w:rFonts w:cs="David" w:hint="cs"/>
                <w:rtl/>
                <w:lang w:val="he-IL"/>
              </w:rPr>
              <w:t>4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>
              <w:rPr>
                <w:rFonts w:cs="David"/>
                <w:b/>
                <w:bCs/>
                <w:noProof/>
                <w:rtl/>
              </w:rPr>
              <w:t>7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>
              <w:rPr>
                <w:rFonts w:cs="David"/>
                <w:b/>
                <w:bCs/>
                <w:noProof/>
                <w:rtl/>
              </w:rPr>
              <w:t>7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0B" w:rsidRDefault="00EF5C8F" w:rsidP="00C04A6B">
      <w:r>
        <w:separator/>
      </w:r>
    </w:p>
  </w:footnote>
  <w:footnote w:type="continuationSeparator" w:id="0">
    <w:p w:rsidR="0024410B" w:rsidRDefault="00EF5C8F" w:rsidP="00C04A6B">
      <w:r>
        <w:continuationSeparator/>
      </w:r>
    </w:p>
  </w:footnote>
  <w:footnote w:id="1">
    <w:p w:rsidR="00292C1D" w:rsidRPr="006A5495" w:rsidRDefault="00EF5C8F" w:rsidP="00A219E8">
      <w:pPr>
        <w:pStyle w:val="FootnoteText"/>
        <w:bidi/>
        <w:rPr>
          <w:rFonts w:cstheme="minorBidi"/>
          <w:rtl/>
        </w:rPr>
      </w:pPr>
      <w:r>
        <w:rPr>
          <w:rStyle w:val="FootnoteReference"/>
        </w:rPr>
        <w:footnoteRef/>
      </w:r>
      <w:r w:rsidR="00A219E8">
        <w:rPr>
          <w:rFonts w:ascii="David" w:hAnsi="David" w:cstheme="minorBidi" w:hint="cs"/>
          <w:rtl/>
          <w:lang w:bidi="ar-SA"/>
        </w:rPr>
        <w:t xml:space="preserve"> </w:t>
      </w:r>
      <w:r w:rsidR="00F14EAF" w:rsidRPr="00F14EAF">
        <w:rPr>
          <w:rFonts w:ascii="David" w:hAnsi="David" w:cs="Times New Roman"/>
          <w:rtl/>
          <w:lang w:bidi="ar-SA"/>
        </w:rPr>
        <w:t xml:space="preserve">لمزيد من المعلومات حول نشاط القطاعات في سوق </w:t>
      </w:r>
      <w:r w:rsidR="00A219E8">
        <w:rPr>
          <w:rFonts w:ascii="David" w:hAnsi="David" w:cs="Times New Roman" w:hint="cs"/>
          <w:rtl/>
          <w:lang w:bidi="ar-SA"/>
        </w:rPr>
        <w:t>النقد</w:t>
      </w:r>
      <w:r w:rsidR="00F14EAF" w:rsidRPr="00F14EAF">
        <w:rPr>
          <w:rFonts w:ascii="David" w:hAnsi="David" w:cs="Times New Roman"/>
          <w:rtl/>
          <w:lang w:bidi="ar-SA"/>
        </w:rPr>
        <w:t xml:space="preserve"> الأجنبي، انظر</w:t>
      </w:r>
      <w:r w:rsidR="00A219E8">
        <w:rPr>
          <w:rFonts w:ascii="David" w:hAnsi="David" w:cs="Times New Roman" w:hint="cs"/>
          <w:rtl/>
          <w:lang w:bidi="ar-SA"/>
        </w:rPr>
        <w:t xml:space="preserve"> تقرير</w:t>
      </w:r>
      <w:r w:rsidR="00F14EAF" w:rsidRPr="00F14EAF">
        <w:rPr>
          <w:rFonts w:ascii="David" w:hAnsi="David" w:cs="Times New Roman"/>
          <w:rtl/>
          <w:lang w:bidi="ar-SA"/>
        </w:rPr>
        <w:t xml:space="preserve"> "</w:t>
      </w:r>
      <w:r w:rsidR="00A219E8">
        <w:rPr>
          <w:rFonts w:ascii="David" w:hAnsi="David" w:cs="Times New Roman" w:hint="cs"/>
          <w:rtl/>
          <w:lang w:bidi="ar-SA"/>
        </w:rPr>
        <w:t>نظرة</w:t>
      </w:r>
      <w:r w:rsidR="00A219E8">
        <w:rPr>
          <w:rFonts w:ascii="David" w:hAnsi="David" w:cs="Times New Roman"/>
          <w:rtl/>
          <w:lang w:bidi="ar-SA"/>
        </w:rPr>
        <w:t xml:space="preserve"> </w:t>
      </w:r>
      <w:r w:rsidR="00F14EAF" w:rsidRPr="00F14EAF">
        <w:rPr>
          <w:rFonts w:ascii="David" w:hAnsi="David" w:cs="Times New Roman"/>
          <w:rtl/>
          <w:lang w:bidi="ar-SA"/>
        </w:rPr>
        <w:t xml:space="preserve">إحصائية لعام 2024 - الفصل </w:t>
      </w:r>
      <w:r w:rsidR="00A219E8">
        <w:rPr>
          <w:rFonts w:ascii="David" w:hAnsi="David" w:cs="Times New Roman" w:hint="cs"/>
          <w:rtl/>
          <w:lang w:bidi="ar-SA"/>
        </w:rPr>
        <w:t>"د"</w:t>
      </w:r>
      <w:r w:rsidR="00F14EAF" w:rsidRPr="00F14EAF">
        <w:rPr>
          <w:rFonts w:ascii="David" w:hAnsi="David" w:cs="Times New Roman"/>
          <w:rtl/>
          <w:lang w:bidi="ar-SA"/>
        </w:rPr>
        <w:t>"</w:t>
      </w:r>
      <w:r w:rsidRPr="006A5495">
        <w:rPr>
          <w:rFonts w:ascii="David" w:hAnsi="David" w:cs="David"/>
          <w:rtl/>
        </w:rPr>
        <w:t xml:space="preserve">: </w:t>
      </w:r>
      <w:hyperlink r:id="rId1" w:tgtFrame="_blank" w:tooltip="https://www.boi.org.il/publications/regularpublications/statistic_bulletin/bulletin2024/" w:history="1">
        <w:r w:rsidRPr="006A5495">
          <w:rPr>
            <w:rStyle w:val="Hyperlink"/>
            <w:rFonts w:ascii="David" w:hAnsi="David" w:cs="David"/>
          </w:rPr>
          <w:t>https://www.boi.org.il/publications/regularpubl</w:t>
        </w:r>
        <w:r w:rsidRPr="006A5495">
          <w:rPr>
            <w:rStyle w:val="Hyperlink"/>
            <w:rFonts w:ascii="David" w:hAnsi="David" w:cs="David"/>
          </w:rPr>
          <w:t>ications/statistic_bulletin/bulletin2024/</w:t>
        </w:r>
      </w:hyperlink>
    </w:p>
  </w:footnote>
  <w:footnote w:id="2">
    <w:p w:rsidR="00193994" w:rsidRPr="00F14EAF" w:rsidRDefault="00EF5C8F" w:rsidP="00A219E8">
      <w:pPr>
        <w:pStyle w:val="FootnoteText"/>
        <w:bidi/>
        <w:rPr>
          <w:rFonts w:ascii="David" w:hAnsi="David" w:cstheme="minorBidi"/>
          <w:rtl/>
          <w:lang w:bidi="ar-SA"/>
        </w:rPr>
      </w:pPr>
      <w:r>
        <w:rPr>
          <w:rStyle w:val="FootnoteReference"/>
        </w:rPr>
        <w:footnoteRef/>
      </w:r>
      <w:r w:rsidR="00A219E8">
        <w:rPr>
          <w:rFonts w:ascii="David" w:hAnsi="David" w:cstheme="minorBidi" w:hint="cs"/>
          <w:rtl/>
          <w:lang w:bidi="ar-SA"/>
        </w:rPr>
        <w:t xml:space="preserve"> </w:t>
      </w:r>
      <w:r w:rsidR="00F14EAF" w:rsidRPr="00F14EAF">
        <w:rPr>
          <w:rFonts w:ascii="David" w:hAnsi="David" w:cs="Arial"/>
          <w:rtl/>
          <w:lang w:bidi="ar-SA"/>
        </w:rPr>
        <w:t xml:space="preserve">لا تشكل القطاعات الرئيسية الموضحة السوق بأكمله - لمزيد من المعلومات، راجع "نظام البيانات حول نشاط سوق الشيكل/العملات الأجنبية" في </w:t>
      </w:r>
      <w:r w:rsidR="00A219E8">
        <w:rPr>
          <w:rFonts w:ascii="David" w:hAnsi="David" w:cs="Arial" w:hint="cs"/>
          <w:rtl/>
          <w:lang w:bidi="ar-SA"/>
        </w:rPr>
        <w:t>تقرير نظرة</w:t>
      </w:r>
      <w:r w:rsidR="00A219E8">
        <w:rPr>
          <w:rFonts w:ascii="David" w:hAnsi="David" w:cs="Arial"/>
          <w:rtl/>
          <w:lang w:bidi="ar-SA"/>
        </w:rPr>
        <w:t xml:space="preserve"> </w:t>
      </w:r>
      <w:r w:rsidR="00F14EAF" w:rsidRPr="00F14EAF">
        <w:rPr>
          <w:rFonts w:ascii="David" w:hAnsi="David" w:cs="Arial"/>
          <w:rtl/>
          <w:lang w:bidi="ar-SA"/>
        </w:rPr>
        <w:t>إحصائية 2024.</w:t>
      </w:r>
    </w:p>
    <w:p w:rsidR="00193994" w:rsidRPr="00FC3FED" w:rsidRDefault="00EF5C8F" w:rsidP="00193994">
      <w:pPr>
        <w:pStyle w:val="FootnoteText"/>
        <w:bidi/>
        <w:rPr>
          <w:rFonts w:ascii="David" w:hAnsi="David" w:cs="David"/>
          <w:rtl/>
        </w:rPr>
      </w:pPr>
      <w:hyperlink r:id="rId2" w:history="1">
        <w:r w:rsidRPr="00FC3FED">
          <w:rPr>
            <w:rStyle w:val="Hyperlink"/>
            <w:rFonts w:ascii="David" w:hAnsi="David" w:cs="David"/>
          </w:rPr>
          <w:t>https://www.boi.org.il/publications/regularpublications/statistic_bulletin/bulletin2024</w:t>
        </w:r>
        <w:r w:rsidRPr="00FC3FED">
          <w:rPr>
            <w:rStyle w:val="Hyperlink"/>
            <w:rFonts w:ascii="David" w:hAnsi="David" w:cs="David"/>
            <w:rtl/>
          </w:rPr>
          <w:t>/</w:t>
        </w:r>
      </w:hyperlink>
    </w:p>
  </w:footnote>
  <w:footnote w:id="3">
    <w:p w:rsidR="00024BD1" w:rsidRPr="00F14EAF" w:rsidRDefault="00EF5C8F" w:rsidP="00A219E8">
      <w:pPr>
        <w:pStyle w:val="FootnoteText"/>
        <w:bidi/>
        <w:rPr>
          <w:rFonts w:ascii="David" w:hAnsi="David" w:cstheme="minorBidi"/>
          <w:rtl/>
          <w:lang w:bidi="ar-SA"/>
        </w:rPr>
      </w:pPr>
      <w:r w:rsidRPr="00256361">
        <w:rPr>
          <w:rStyle w:val="FootnoteReference"/>
          <w:rFonts w:ascii="David" w:hAnsi="David" w:cs="David"/>
        </w:rPr>
        <w:footnoteRef/>
      </w:r>
      <w:r w:rsidR="00A219E8">
        <w:rPr>
          <w:rFonts w:ascii="David" w:hAnsi="David" w:cstheme="minorBidi" w:hint="cs"/>
          <w:rtl/>
          <w:lang w:bidi="ar-SA"/>
        </w:rPr>
        <w:t xml:space="preserve"> </w:t>
      </w:r>
      <w:r w:rsidR="00702618" w:rsidRPr="00EF1545">
        <w:rPr>
          <w:rFonts w:ascii="David" w:hAnsi="David" w:cs="Times New Roman"/>
          <w:sz w:val="18"/>
          <w:szCs w:val="18"/>
          <w:rtl/>
          <w:lang w:bidi="ar-SA"/>
        </w:rPr>
        <w:t>اعتبارًا من عام 2020، لا تشمل البيانات فروع البنوك الأجنبية في إسرائيل</w:t>
      </w:r>
      <w:r w:rsidR="00702618" w:rsidRPr="00EF1545">
        <w:rPr>
          <w:rFonts w:ascii="David" w:hAnsi="David" w:cs="David" w:hint="cs"/>
          <w:sz w:val="18"/>
          <w:szCs w:val="18"/>
          <w:rtl/>
        </w:rPr>
        <w:t>.</w:t>
      </w:r>
    </w:p>
  </w:footnote>
  <w:footnote w:id="4">
    <w:p w:rsidR="007306CA" w:rsidRPr="00F14EAF" w:rsidRDefault="00EF5C8F" w:rsidP="003B7B7B">
      <w:pPr>
        <w:bidi/>
        <w:rPr>
          <w:rFonts w:ascii="David" w:hAnsi="David" w:cstheme="minorBidi"/>
          <w:sz w:val="22"/>
          <w:szCs w:val="22"/>
          <w:rtl/>
          <w:lang w:eastAsia="en-US" w:bidi="ar-SA"/>
        </w:rPr>
      </w:pPr>
      <w:r>
        <w:rPr>
          <w:rStyle w:val="FootnoteReference"/>
        </w:rPr>
        <w:footnoteRef/>
      </w:r>
      <w:r>
        <w:t xml:space="preserve"> </w:t>
      </w:r>
      <w:r w:rsidR="003B7B7B">
        <w:rPr>
          <w:rFonts w:ascii="David" w:eastAsiaTheme="minorHAnsi" w:hAnsi="David" w:cstheme="minorBidi" w:hint="cs"/>
          <w:rtl/>
          <w:lang w:bidi="ar-SA"/>
        </w:rPr>
        <w:t xml:space="preserve"> </w:t>
      </w:r>
      <w:r w:rsidR="00702618" w:rsidRPr="00983155">
        <w:rPr>
          <w:rFonts w:ascii="David" w:eastAsiaTheme="minorHAnsi" w:hAnsi="David" w:cs="Times New Roman"/>
          <w:sz w:val="18"/>
          <w:szCs w:val="18"/>
          <w:rtl/>
          <w:lang w:bidi="ar-SA"/>
        </w:rPr>
        <w:t xml:space="preserve">إجمالي حجم التداول هو تقدير لإجمالي النشاط في المعاملات مقابل الشيكل، بناءً على تقارير الجهاز المصرفي المحلي </w:t>
      </w:r>
      <w:r w:rsidR="00702618">
        <w:rPr>
          <w:rFonts w:ascii="David" w:eastAsiaTheme="minorHAnsi" w:hAnsi="David" w:cs="Times New Roman" w:hint="cs"/>
          <w:sz w:val="18"/>
          <w:szCs w:val="18"/>
          <w:rtl/>
          <w:lang w:bidi="ar-SA"/>
        </w:rPr>
        <w:t>والمصادر</w:t>
      </w:r>
      <w:r w:rsidR="00702618" w:rsidRPr="00983155">
        <w:rPr>
          <w:rFonts w:ascii="David" w:eastAsiaTheme="minorHAnsi" w:hAnsi="David" w:cs="Times New Roman" w:hint="cs"/>
          <w:sz w:val="18"/>
          <w:szCs w:val="18"/>
          <w:rtl/>
          <w:lang w:bidi="ar-SA"/>
        </w:rPr>
        <w:t xml:space="preserve"> الأجنبية</w:t>
      </w:r>
      <w:r w:rsidR="00702618" w:rsidRPr="00983155">
        <w:rPr>
          <w:rFonts w:ascii="David" w:eastAsiaTheme="minorHAnsi" w:hAnsi="David" w:cs="David" w:hint="cs"/>
          <w:sz w:val="18"/>
          <w:szCs w:val="1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AB626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DADAA6" w:tentative="1">
      <w:start w:val="1"/>
      <w:numFmt w:val="lowerLetter"/>
      <w:lvlText w:val="%2."/>
      <w:lvlJc w:val="left"/>
      <w:pPr>
        <w:ind w:left="1440" w:hanging="360"/>
      </w:pPr>
    </w:lvl>
    <w:lvl w:ilvl="2" w:tplc="935A9146" w:tentative="1">
      <w:start w:val="1"/>
      <w:numFmt w:val="lowerRoman"/>
      <w:lvlText w:val="%3."/>
      <w:lvlJc w:val="right"/>
      <w:pPr>
        <w:ind w:left="2160" w:hanging="180"/>
      </w:pPr>
    </w:lvl>
    <w:lvl w:ilvl="3" w:tplc="9FFABFA4" w:tentative="1">
      <w:start w:val="1"/>
      <w:numFmt w:val="decimal"/>
      <w:lvlText w:val="%4."/>
      <w:lvlJc w:val="left"/>
      <w:pPr>
        <w:ind w:left="2880" w:hanging="360"/>
      </w:pPr>
    </w:lvl>
    <w:lvl w:ilvl="4" w:tplc="83DE5298" w:tentative="1">
      <w:start w:val="1"/>
      <w:numFmt w:val="lowerLetter"/>
      <w:lvlText w:val="%5."/>
      <w:lvlJc w:val="left"/>
      <w:pPr>
        <w:ind w:left="3600" w:hanging="360"/>
      </w:pPr>
    </w:lvl>
    <w:lvl w:ilvl="5" w:tplc="0E02ACE4" w:tentative="1">
      <w:start w:val="1"/>
      <w:numFmt w:val="lowerRoman"/>
      <w:lvlText w:val="%6."/>
      <w:lvlJc w:val="right"/>
      <w:pPr>
        <w:ind w:left="4320" w:hanging="180"/>
      </w:pPr>
    </w:lvl>
    <w:lvl w:ilvl="6" w:tplc="282EBAE6" w:tentative="1">
      <w:start w:val="1"/>
      <w:numFmt w:val="decimal"/>
      <w:lvlText w:val="%7."/>
      <w:lvlJc w:val="left"/>
      <w:pPr>
        <w:ind w:left="5040" w:hanging="360"/>
      </w:pPr>
    </w:lvl>
    <w:lvl w:ilvl="7" w:tplc="BEEE33C0" w:tentative="1">
      <w:start w:val="1"/>
      <w:numFmt w:val="lowerLetter"/>
      <w:lvlText w:val="%8."/>
      <w:lvlJc w:val="left"/>
      <w:pPr>
        <w:ind w:left="5760" w:hanging="360"/>
      </w:pPr>
    </w:lvl>
    <w:lvl w:ilvl="8" w:tplc="C11E4E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4644"/>
    <w:rsid w:val="00005843"/>
    <w:rsid w:val="00007757"/>
    <w:rsid w:val="00007D99"/>
    <w:rsid w:val="00010FC5"/>
    <w:rsid w:val="00011B0D"/>
    <w:rsid w:val="0001222D"/>
    <w:rsid w:val="000133CD"/>
    <w:rsid w:val="00014BDC"/>
    <w:rsid w:val="00015825"/>
    <w:rsid w:val="00016D86"/>
    <w:rsid w:val="000214DB"/>
    <w:rsid w:val="00024BD1"/>
    <w:rsid w:val="00025140"/>
    <w:rsid w:val="000261BE"/>
    <w:rsid w:val="00027C8A"/>
    <w:rsid w:val="00027F15"/>
    <w:rsid w:val="00030347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4655"/>
    <w:rsid w:val="00065FC6"/>
    <w:rsid w:val="0007040B"/>
    <w:rsid w:val="00071CA9"/>
    <w:rsid w:val="00073A6E"/>
    <w:rsid w:val="00075BC2"/>
    <w:rsid w:val="000771B6"/>
    <w:rsid w:val="00077867"/>
    <w:rsid w:val="00080CDA"/>
    <w:rsid w:val="0008243A"/>
    <w:rsid w:val="00085271"/>
    <w:rsid w:val="000863E5"/>
    <w:rsid w:val="00090558"/>
    <w:rsid w:val="00090B40"/>
    <w:rsid w:val="00090D2F"/>
    <w:rsid w:val="000916E4"/>
    <w:rsid w:val="00094325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1B7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3D94"/>
    <w:rsid w:val="000D5480"/>
    <w:rsid w:val="000D7291"/>
    <w:rsid w:val="000D7DB9"/>
    <w:rsid w:val="000E4486"/>
    <w:rsid w:val="000E4B36"/>
    <w:rsid w:val="000E5483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35D3"/>
    <w:rsid w:val="00114BCD"/>
    <w:rsid w:val="00115086"/>
    <w:rsid w:val="001159FC"/>
    <w:rsid w:val="00115A82"/>
    <w:rsid w:val="00117379"/>
    <w:rsid w:val="00117E8C"/>
    <w:rsid w:val="00121A45"/>
    <w:rsid w:val="00121A5F"/>
    <w:rsid w:val="00121F12"/>
    <w:rsid w:val="001230E3"/>
    <w:rsid w:val="00123388"/>
    <w:rsid w:val="001245F9"/>
    <w:rsid w:val="00124668"/>
    <w:rsid w:val="00124D6B"/>
    <w:rsid w:val="001256D3"/>
    <w:rsid w:val="001268F4"/>
    <w:rsid w:val="00126A4A"/>
    <w:rsid w:val="00131D80"/>
    <w:rsid w:val="00132055"/>
    <w:rsid w:val="001322CA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47DC7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3979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269F"/>
    <w:rsid w:val="001843E5"/>
    <w:rsid w:val="00187BA8"/>
    <w:rsid w:val="0019011E"/>
    <w:rsid w:val="00190AA2"/>
    <w:rsid w:val="00190E7A"/>
    <w:rsid w:val="0019133B"/>
    <w:rsid w:val="00191526"/>
    <w:rsid w:val="00192212"/>
    <w:rsid w:val="001922D1"/>
    <w:rsid w:val="00192BA0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2425"/>
    <w:rsid w:val="001D2795"/>
    <w:rsid w:val="001D4055"/>
    <w:rsid w:val="001D578A"/>
    <w:rsid w:val="001D7646"/>
    <w:rsid w:val="001E47BB"/>
    <w:rsid w:val="001E4F8E"/>
    <w:rsid w:val="001E5A00"/>
    <w:rsid w:val="001E5D7D"/>
    <w:rsid w:val="001E6258"/>
    <w:rsid w:val="001E7D3F"/>
    <w:rsid w:val="001E7E23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33CE"/>
    <w:rsid w:val="00203888"/>
    <w:rsid w:val="002044D2"/>
    <w:rsid w:val="00207C36"/>
    <w:rsid w:val="002101D4"/>
    <w:rsid w:val="00210869"/>
    <w:rsid w:val="00211627"/>
    <w:rsid w:val="00212C3E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10B"/>
    <w:rsid w:val="00244B81"/>
    <w:rsid w:val="002455A4"/>
    <w:rsid w:val="0024679B"/>
    <w:rsid w:val="002473F2"/>
    <w:rsid w:val="00251B18"/>
    <w:rsid w:val="00253DB1"/>
    <w:rsid w:val="0025601B"/>
    <w:rsid w:val="00256361"/>
    <w:rsid w:val="00260180"/>
    <w:rsid w:val="002603C3"/>
    <w:rsid w:val="00262224"/>
    <w:rsid w:val="002636D1"/>
    <w:rsid w:val="002646A1"/>
    <w:rsid w:val="00265CDB"/>
    <w:rsid w:val="0026668A"/>
    <w:rsid w:val="00266A17"/>
    <w:rsid w:val="00272A95"/>
    <w:rsid w:val="00273A91"/>
    <w:rsid w:val="00273B38"/>
    <w:rsid w:val="00274D7A"/>
    <w:rsid w:val="002806D2"/>
    <w:rsid w:val="002811E6"/>
    <w:rsid w:val="0028134B"/>
    <w:rsid w:val="00281E65"/>
    <w:rsid w:val="00282C17"/>
    <w:rsid w:val="00283F56"/>
    <w:rsid w:val="00285A84"/>
    <w:rsid w:val="00286F6D"/>
    <w:rsid w:val="0029270D"/>
    <w:rsid w:val="00292718"/>
    <w:rsid w:val="00292B14"/>
    <w:rsid w:val="00292C1D"/>
    <w:rsid w:val="002A4BDC"/>
    <w:rsid w:val="002A5C19"/>
    <w:rsid w:val="002A5E79"/>
    <w:rsid w:val="002A6574"/>
    <w:rsid w:val="002B0707"/>
    <w:rsid w:val="002B0808"/>
    <w:rsid w:val="002B1C21"/>
    <w:rsid w:val="002B263E"/>
    <w:rsid w:val="002B2903"/>
    <w:rsid w:val="002B3FB0"/>
    <w:rsid w:val="002B4161"/>
    <w:rsid w:val="002B417B"/>
    <w:rsid w:val="002B4D76"/>
    <w:rsid w:val="002B57EF"/>
    <w:rsid w:val="002B6B7C"/>
    <w:rsid w:val="002B7BF9"/>
    <w:rsid w:val="002C0E72"/>
    <w:rsid w:val="002C36B1"/>
    <w:rsid w:val="002D01AB"/>
    <w:rsid w:val="002D11B6"/>
    <w:rsid w:val="002D11F1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9D"/>
    <w:rsid w:val="003044F6"/>
    <w:rsid w:val="00304746"/>
    <w:rsid w:val="003102B4"/>
    <w:rsid w:val="003132E4"/>
    <w:rsid w:val="00313810"/>
    <w:rsid w:val="00315053"/>
    <w:rsid w:val="003159CD"/>
    <w:rsid w:val="003159CF"/>
    <w:rsid w:val="0031697F"/>
    <w:rsid w:val="00317F88"/>
    <w:rsid w:val="00321209"/>
    <w:rsid w:val="00322023"/>
    <w:rsid w:val="00322500"/>
    <w:rsid w:val="00323FCE"/>
    <w:rsid w:val="003241A7"/>
    <w:rsid w:val="003270FE"/>
    <w:rsid w:val="00327B60"/>
    <w:rsid w:val="003309FD"/>
    <w:rsid w:val="0033209D"/>
    <w:rsid w:val="003329C4"/>
    <w:rsid w:val="00332CFE"/>
    <w:rsid w:val="0033595D"/>
    <w:rsid w:val="003364E6"/>
    <w:rsid w:val="00337E33"/>
    <w:rsid w:val="00342586"/>
    <w:rsid w:val="00342EDF"/>
    <w:rsid w:val="003433C9"/>
    <w:rsid w:val="00343917"/>
    <w:rsid w:val="00344613"/>
    <w:rsid w:val="00344E3D"/>
    <w:rsid w:val="00345033"/>
    <w:rsid w:val="00345945"/>
    <w:rsid w:val="003477B4"/>
    <w:rsid w:val="003505DD"/>
    <w:rsid w:val="003516BF"/>
    <w:rsid w:val="00351C9A"/>
    <w:rsid w:val="003537B9"/>
    <w:rsid w:val="003544E1"/>
    <w:rsid w:val="00355BA0"/>
    <w:rsid w:val="00357823"/>
    <w:rsid w:val="00357F2D"/>
    <w:rsid w:val="00361581"/>
    <w:rsid w:val="0036171D"/>
    <w:rsid w:val="003642F7"/>
    <w:rsid w:val="003655B1"/>
    <w:rsid w:val="00365D01"/>
    <w:rsid w:val="0036708A"/>
    <w:rsid w:val="00367B73"/>
    <w:rsid w:val="00367FFD"/>
    <w:rsid w:val="0037062A"/>
    <w:rsid w:val="0037098C"/>
    <w:rsid w:val="00374070"/>
    <w:rsid w:val="00374756"/>
    <w:rsid w:val="0037499F"/>
    <w:rsid w:val="003752B3"/>
    <w:rsid w:val="00375D59"/>
    <w:rsid w:val="00376120"/>
    <w:rsid w:val="003773AA"/>
    <w:rsid w:val="0038002F"/>
    <w:rsid w:val="00380659"/>
    <w:rsid w:val="00380894"/>
    <w:rsid w:val="003822B2"/>
    <w:rsid w:val="00382320"/>
    <w:rsid w:val="00382716"/>
    <w:rsid w:val="00384807"/>
    <w:rsid w:val="00386BAD"/>
    <w:rsid w:val="003901E0"/>
    <w:rsid w:val="0039036B"/>
    <w:rsid w:val="00393094"/>
    <w:rsid w:val="0039453F"/>
    <w:rsid w:val="0039487F"/>
    <w:rsid w:val="00395A19"/>
    <w:rsid w:val="00397697"/>
    <w:rsid w:val="00397D52"/>
    <w:rsid w:val="003A2C16"/>
    <w:rsid w:val="003A37E6"/>
    <w:rsid w:val="003A4403"/>
    <w:rsid w:val="003A5253"/>
    <w:rsid w:val="003A584D"/>
    <w:rsid w:val="003A5A52"/>
    <w:rsid w:val="003A6531"/>
    <w:rsid w:val="003B5057"/>
    <w:rsid w:val="003B5C7A"/>
    <w:rsid w:val="003B7B7B"/>
    <w:rsid w:val="003C19EB"/>
    <w:rsid w:val="003C5812"/>
    <w:rsid w:val="003C638D"/>
    <w:rsid w:val="003C74AE"/>
    <w:rsid w:val="003D0678"/>
    <w:rsid w:val="003D1221"/>
    <w:rsid w:val="003D208A"/>
    <w:rsid w:val="003D770A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3EE"/>
    <w:rsid w:val="003F4C15"/>
    <w:rsid w:val="003F7838"/>
    <w:rsid w:val="00401ADB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5416"/>
    <w:rsid w:val="00416426"/>
    <w:rsid w:val="0041796A"/>
    <w:rsid w:val="00420F93"/>
    <w:rsid w:val="00422B0F"/>
    <w:rsid w:val="00424756"/>
    <w:rsid w:val="00426FE4"/>
    <w:rsid w:val="004327FD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4C9B"/>
    <w:rsid w:val="004566C7"/>
    <w:rsid w:val="00456771"/>
    <w:rsid w:val="00456EC0"/>
    <w:rsid w:val="00456FB5"/>
    <w:rsid w:val="0045705A"/>
    <w:rsid w:val="00457614"/>
    <w:rsid w:val="00457D76"/>
    <w:rsid w:val="004625EB"/>
    <w:rsid w:val="00465A54"/>
    <w:rsid w:val="00466063"/>
    <w:rsid w:val="00470746"/>
    <w:rsid w:val="004709B4"/>
    <w:rsid w:val="00470A3C"/>
    <w:rsid w:val="00471F70"/>
    <w:rsid w:val="004726DB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5CD"/>
    <w:rsid w:val="00493822"/>
    <w:rsid w:val="00493B40"/>
    <w:rsid w:val="00497843"/>
    <w:rsid w:val="004A0170"/>
    <w:rsid w:val="004A09F6"/>
    <w:rsid w:val="004A3B32"/>
    <w:rsid w:val="004A59C4"/>
    <w:rsid w:val="004B07EA"/>
    <w:rsid w:val="004B0DF2"/>
    <w:rsid w:val="004B0F95"/>
    <w:rsid w:val="004B18B7"/>
    <w:rsid w:val="004B1BE7"/>
    <w:rsid w:val="004B212B"/>
    <w:rsid w:val="004B3C97"/>
    <w:rsid w:val="004B5D8D"/>
    <w:rsid w:val="004B5E32"/>
    <w:rsid w:val="004B62BC"/>
    <w:rsid w:val="004B62EF"/>
    <w:rsid w:val="004B74BD"/>
    <w:rsid w:val="004C0E5D"/>
    <w:rsid w:val="004C1866"/>
    <w:rsid w:val="004C386E"/>
    <w:rsid w:val="004C46FB"/>
    <w:rsid w:val="004C4C02"/>
    <w:rsid w:val="004C4CE6"/>
    <w:rsid w:val="004C5FB1"/>
    <w:rsid w:val="004C7344"/>
    <w:rsid w:val="004D0131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4F7549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453C"/>
    <w:rsid w:val="00515A13"/>
    <w:rsid w:val="00521505"/>
    <w:rsid w:val="00530D48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1E3F"/>
    <w:rsid w:val="00541FB3"/>
    <w:rsid w:val="00542D66"/>
    <w:rsid w:val="00543C49"/>
    <w:rsid w:val="00543F25"/>
    <w:rsid w:val="00544963"/>
    <w:rsid w:val="00544C37"/>
    <w:rsid w:val="00546ACF"/>
    <w:rsid w:val="00550E8E"/>
    <w:rsid w:val="005534E9"/>
    <w:rsid w:val="0055353D"/>
    <w:rsid w:val="00553CEB"/>
    <w:rsid w:val="0056091C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75E00"/>
    <w:rsid w:val="00577CFF"/>
    <w:rsid w:val="005808C9"/>
    <w:rsid w:val="00582935"/>
    <w:rsid w:val="00582D1F"/>
    <w:rsid w:val="0059148B"/>
    <w:rsid w:val="00591BE8"/>
    <w:rsid w:val="00592303"/>
    <w:rsid w:val="00592639"/>
    <w:rsid w:val="00593A56"/>
    <w:rsid w:val="00593C3C"/>
    <w:rsid w:val="00593FDD"/>
    <w:rsid w:val="00595552"/>
    <w:rsid w:val="005962B4"/>
    <w:rsid w:val="005A042E"/>
    <w:rsid w:val="005A1DD7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39CA"/>
    <w:rsid w:val="005D4298"/>
    <w:rsid w:val="005D42C8"/>
    <w:rsid w:val="005D4477"/>
    <w:rsid w:val="005D474E"/>
    <w:rsid w:val="005D694B"/>
    <w:rsid w:val="005E1369"/>
    <w:rsid w:val="005E143B"/>
    <w:rsid w:val="005E37F8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5DEA"/>
    <w:rsid w:val="00606812"/>
    <w:rsid w:val="00610022"/>
    <w:rsid w:val="0061061F"/>
    <w:rsid w:val="006123F9"/>
    <w:rsid w:val="00613EBF"/>
    <w:rsid w:val="00614095"/>
    <w:rsid w:val="00614732"/>
    <w:rsid w:val="00614B30"/>
    <w:rsid w:val="00614C05"/>
    <w:rsid w:val="00616C24"/>
    <w:rsid w:val="00620631"/>
    <w:rsid w:val="006251C8"/>
    <w:rsid w:val="00625314"/>
    <w:rsid w:val="0062534F"/>
    <w:rsid w:val="00625A1B"/>
    <w:rsid w:val="00630CF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1006"/>
    <w:rsid w:val="00642C25"/>
    <w:rsid w:val="0064335A"/>
    <w:rsid w:val="00643919"/>
    <w:rsid w:val="00643D21"/>
    <w:rsid w:val="00644959"/>
    <w:rsid w:val="006472EE"/>
    <w:rsid w:val="0064747B"/>
    <w:rsid w:val="006500AF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937"/>
    <w:rsid w:val="00665A54"/>
    <w:rsid w:val="00666126"/>
    <w:rsid w:val="00666CC6"/>
    <w:rsid w:val="006704C8"/>
    <w:rsid w:val="00670EB5"/>
    <w:rsid w:val="0067168F"/>
    <w:rsid w:val="00672EAD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87747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5495"/>
    <w:rsid w:val="006A56AC"/>
    <w:rsid w:val="006A6A5A"/>
    <w:rsid w:val="006A6BEE"/>
    <w:rsid w:val="006B06E8"/>
    <w:rsid w:val="006B1087"/>
    <w:rsid w:val="006B314F"/>
    <w:rsid w:val="006B48A9"/>
    <w:rsid w:val="006B4F6C"/>
    <w:rsid w:val="006B6158"/>
    <w:rsid w:val="006B7530"/>
    <w:rsid w:val="006B7C5E"/>
    <w:rsid w:val="006B7D34"/>
    <w:rsid w:val="006B7E33"/>
    <w:rsid w:val="006C01FB"/>
    <w:rsid w:val="006C039C"/>
    <w:rsid w:val="006C0A5C"/>
    <w:rsid w:val="006C138C"/>
    <w:rsid w:val="006C19B2"/>
    <w:rsid w:val="006C1C1F"/>
    <w:rsid w:val="006C1D47"/>
    <w:rsid w:val="006C3931"/>
    <w:rsid w:val="006C4942"/>
    <w:rsid w:val="006C5C49"/>
    <w:rsid w:val="006C5E66"/>
    <w:rsid w:val="006C5FAA"/>
    <w:rsid w:val="006C6D8A"/>
    <w:rsid w:val="006D10B5"/>
    <w:rsid w:val="006D10C4"/>
    <w:rsid w:val="006D1880"/>
    <w:rsid w:val="006D21DD"/>
    <w:rsid w:val="006D5003"/>
    <w:rsid w:val="006D6FBD"/>
    <w:rsid w:val="006E1923"/>
    <w:rsid w:val="006E2CBE"/>
    <w:rsid w:val="006E2EAE"/>
    <w:rsid w:val="006E5623"/>
    <w:rsid w:val="006E6015"/>
    <w:rsid w:val="006E672B"/>
    <w:rsid w:val="006F3306"/>
    <w:rsid w:val="006F6337"/>
    <w:rsid w:val="006F7631"/>
    <w:rsid w:val="0070231A"/>
    <w:rsid w:val="00702618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C46"/>
    <w:rsid w:val="00730F17"/>
    <w:rsid w:val="00732F95"/>
    <w:rsid w:val="0073315E"/>
    <w:rsid w:val="00733263"/>
    <w:rsid w:val="00733497"/>
    <w:rsid w:val="00736E4D"/>
    <w:rsid w:val="00741A31"/>
    <w:rsid w:val="00742138"/>
    <w:rsid w:val="00743C50"/>
    <w:rsid w:val="007449B9"/>
    <w:rsid w:val="0074502E"/>
    <w:rsid w:val="00745544"/>
    <w:rsid w:val="007510C2"/>
    <w:rsid w:val="0075204C"/>
    <w:rsid w:val="00752286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656B5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5574"/>
    <w:rsid w:val="007B7991"/>
    <w:rsid w:val="007C017E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368D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544A"/>
    <w:rsid w:val="00807D58"/>
    <w:rsid w:val="00815E62"/>
    <w:rsid w:val="0082256D"/>
    <w:rsid w:val="00822681"/>
    <w:rsid w:val="00822FE9"/>
    <w:rsid w:val="00825944"/>
    <w:rsid w:val="00826810"/>
    <w:rsid w:val="00827F42"/>
    <w:rsid w:val="0083050C"/>
    <w:rsid w:val="00830628"/>
    <w:rsid w:val="008315E7"/>
    <w:rsid w:val="00832014"/>
    <w:rsid w:val="00832042"/>
    <w:rsid w:val="00832E90"/>
    <w:rsid w:val="00834222"/>
    <w:rsid w:val="00834420"/>
    <w:rsid w:val="00834569"/>
    <w:rsid w:val="00842B93"/>
    <w:rsid w:val="00845196"/>
    <w:rsid w:val="008459EE"/>
    <w:rsid w:val="00846BA1"/>
    <w:rsid w:val="00846F03"/>
    <w:rsid w:val="008515DC"/>
    <w:rsid w:val="00851D49"/>
    <w:rsid w:val="00852D44"/>
    <w:rsid w:val="00853663"/>
    <w:rsid w:val="00854CC0"/>
    <w:rsid w:val="0085615E"/>
    <w:rsid w:val="0085644D"/>
    <w:rsid w:val="00856D64"/>
    <w:rsid w:val="00856F3E"/>
    <w:rsid w:val="008572E6"/>
    <w:rsid w:val="0085777D"/>
    <w:rsid w:val="0086330B"/>
    <w:rsid w:val="00864100"/>
    <w:rsid w:val="008705CC"/>
    <w:rsid w:val="00870E8D"/>
    <w:rsid w:val="008715D5"/>
    <w:rsid w:val="00875863"/>
    <w:rsid w:val="0087595B"/>
    <w:rsid w:val="008778E5"/>
    <w:rsid w:val="00881DB9"/>
    <w:rsid w:val="00881EF7"/>
    <w:rsid w:val="00882C4C"/>
    <w:rsid w:val="00884CAD"/>
    <w:rsid w:val="00884DD6"/>
    <w:rsid w:val="008855F0"/>
    <w:rsid w:val="008869A9"/>
    <w:rsid w:val="00890103"/>
    <w:rsid w:val="008901E5"/>
    <w:rsid w:val="008918CC"/>
    <w:rsid w:val="008930B2"/>
    <w:rsid w:val="00895DD5"/>
    <w:rsid w:val="00896B26"/>
    <w:rsid w:val="00896CB8"/>
    <w:rsid w:val="008A065A"/>
    <w:rsid w:val="008A0A44"/>
    <w:rsid w:val="008A0B63"/>
    <w:rsid w:val="008A182F"/>
    <w:rsid w:val="008A1D1C"/>
    <w:rsid w:val="008A2598"/>
    <w:rsid w:val="008A492B"/>
    <w:rsid w:val="008A4D31"/>
    <w:rsid w:val="008A5898"/>
    <w:rsid w:val="008A7D86"/>
    <w:rsid w:val="008B0A72"/>
    <w:rsid w:val="008B42F8"/>
    <w:rsid w:val="008B4349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323"/>
    <w:rsid w:val="008D6BA1"/>
    <w:rsid w:val="008D7E14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270"/>
    <w:rsid w:val="008F7B5E"/>
    <w:rsid w:val="008F7BEA"/>
    <w:rsid w:val="00901C3E"/>
    <w:rsid w:val="00902668"/>
    <w:rsid w:val="00902867"/>
    <w:rsid w:val="00905C1D"/>
    <w:rsid w:val="0091030B"/>
    <w:rsid w:val="00910D2D"/>
    <w:rsid w:val="00916014"/>
    <w:rsid w:val="009164C6"/>
    <w:rsid w:val="009172CF"/>
    <w:rsid w:val="00917BC0"/>
    <w:rsid w:val="00920B7B"/>
    <w:rsid w:val="00923437"/>
    <w:rsid w:val="00924D3E"/>
    <w:rsid w:val="00926282"/>
    <w:rsid w:val="00930322"/>
    <w:rsid w:val="00931246"/>
    <w:rsid w:val="00932376"/>
    <w:rsid w:val="009338DB"/>
    <w:rsid w:val="00935F4F"/>
    <w:rsid w:val="009412F2"/>
    <w:rsid w:val="009415E1"/>
    <w:rsid w:val="00941794"/>
    <w:rsid w:val="00942098"/>
    <w:rsid w:val="0094220E"/>
    <w:rsid w:val="00942809"/>
    <w:rsid w:val="009450DE"/>
    <w:rsid w:val="00953147"/>
    <w:rsid w:val="009533C0"/>
    <w:rsid w:val="009550D7"/>
    <w:rsid w:val="00956534"/>
    <w:rsid w:val="00956E25"/>
    <w:rsid w:val="009607F6"/>
    <w:rsid w:val="00961EFC"/>
    <w:rsid w:val="00962B48"/>
    <w:rsid w:val="009659C9"/>
    <w:rsid w:val="00965EB1"/>
    <w:rsid w:val="00970D94"/>
    <w:rsid w:val="009723C5"/>
    <w:rsid w:val="00972F84"/>
    <w:rsid w:val="009732F4"/>
    <w:rsid w:val="009743A2"/>
    <w:rsid w:val="00975999"/>
    <w:rsid w:val="00975B9B"/>
    <w:rsid w:val="00975DB4"/>
    <w:rsid w:val="00976AAD"/>
    <w:rsid w:val="009806AC"/>
    <w:rsid w:val="009818C2"/>
    <w:rsid w:val="009829BE"/>
    <w:rsid w:val="00982BF2"/>
    <w:rsid w:val="00983155"/>
    <w:rsid w:val="00986B50"/>
    <w:rsid w:val="00992969"/>
    <w:rsid w:val="0099339C"/>
    <w:rsid w:val="00993A0F"/>
    <w:rsid w:val="00994548"/>
    <w:rsid w:val="009948F6"/>
    <w:rsid w:val="00996E2A"/>
    <w:rsid w:val="00997F0F"/>
    <w:rsid w:val="009A095D"/>
    <w:rsid w:val="009A1430"/>
    <w:rsid w:val="009A1B95"/>
    <w:rsid w:val="009A1CA7"/>
    <w:rsid w:val="009A1E41"/>
    <w:rsid w:val="009A2B25"/>
    <w:rsid w:val="009A3C32"/>
    <w:rsid w:val="009A5C72"/>
    <w:rsid w:val="009A6026"/>
    <w:rsid w:val="009A656E"/>
    <w:rsid w:val="009A6BF9"/>
    <w:rsid w:val="009A7F72"/>
    <w:rsid w:val="009B019E"/>
    <w:rsid w:val="009B38CF"/>
    <w:rsid w:val="009B3C2A"/>
    <w:rsid w:val="009B4BDA"/>
    <w:rsid w:val="009B6280"/>
    <w:rsid w:val="009B6920"/>
    <w:rsid w:val="009B6D22"/>
    <w:rsid w:val="009B6EA0"/>
    <w:rsid w:val="009C16BD"/>
    <w:rsid w:val="009C1CC8"/>
    <w:rsid w:val="009C2E01"/>
    <w:rsid w:val="009C48BC"/>
    <w:rsid w:val="009C4F37"/>
    <w:rsid w:val="009C5AB0"/>
    <w:rsid w:val="009D0471"/>
    <w:rsid w:val="009D113D"/>
    <w:rsid w:val="009D15FB"/>
    <w:rsid w:val="009D1F98"/>
    <w:rsid w:val="009D2400"/>
    <w:rsid w:val="009D2543"/>
    <w:rsid w:val="009D5237"/>
    <w:rsid w:val="009D730B"/>
    <w:rsid w:val="009D757B"/>
    <w:rsid w:val="009E0F7F"/>
    <w:rsid w:val="009E2546"/>
    <w:rsid w:val="009E2D60"/>
    <w:rsid w:val="009E6006"/>
    <w:rsid w:val="009E62A7"/>
    <w:rsid w:val="009E6E91"/>
    <w:rsid w:val="009E7412"/>
    <w:rsid w:val="009E7C6B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47D6"/>
    <w:rsid w:val="00A16070"/>
    <w:rsid w:val="00A16391"/>
    <w:rsid w:val="00A16A9F"/>
    <w:rsid w:val="00A175C0"/>
    <w:rsid w:val="00A21471"/>
    <w:rsid w:val="00A219E8"/>
    <w:rsid w:val="00A22075"/>
    <w:rsid w:val="00A2207D"/>
    <w:rsid w:val="00A2328D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36F7D"/>
    <w:rsid w:val="00A41537"/>
    <w:rsid w:val="00A41EEC"/>
    <w:rsid w:val="00A4292A"/>
    <w:rsid w:val="00A436A3"/>
    <w:rsid w:val="00A44734"/>
    <w:rsid w:val="00A47477"/>
    <w:rsid w:val="00A51404"/>
    <w:rsid w:val="00A51F28"/>
    <w:rsid w:val="00A52080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3232"/>
    <w:rsid w:val="00A9385F"/>
    <w:rsid w:val="00A93ACC"/>
    <w:rsid w:val="00A943A8"/>
    <w:rsid w:val="00A94AEC"/>
    <w:rsid w:val="00A97DCA"/>
    <w:rsid w:val="00AA0BBA"/>
    <w:rsid w:val="00AA1546"/>
    <w:rsid w:val="00AA2EF8"/>
    <w:rsid w:val="00AA36EE"/>
    <w:rsid w:val="00AA51B0"/>
    <w:rsid w:val="00AA54CE"/>
    <w:rsid w:val="00AA5C25"/>
    <w:rsid w:val="00AA7988"/>
    <w:rsid w:val="00AB09AE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332C"/>
    <w:rsid w:val="00AD38D3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6B84"/>
    <w:rsid w:val="00AE755B"/>
    <w:rsid w:val="00AF044D"/>
    <w:rsid w:val="00AF1C72"/>
    <w:rsid w:val="00AF4F58"/>
    <w:rsid w:val="00AF52DF"/>
    <w:rsid w:val="00AF6CFB"/>
    <w:rsid w:val="00AF72E2"/>
    <w:rsid w:val="00B0223B"/>
    <w:rsid w:val="00B031B2"/>
    <w:rsid w:val="00B058F3"/>
    <w:rsid w:val="00B05BF3"/>
    <w:rsid w:val="00B12910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A3F"/>
    <w:rsid w:val="00B40C5C"/>
    <w:rsid w:val="00B42504"/>
    <w:rsid w:val="00B435C0"/>
    <w:rsid w:val="00B44088"/>
    <w:rsid w:val="00B440E6"/>
    <w:rsid w:val="00B44BDD"/>
    <w:rsid w:val="00B45525"/>
    <w:rsid w:val="00B47955"/>
    <w:rsid w:val="00B50A27"/>
    <w:rsid w:val="00B53E37"/>
    <w:rsid w:val="00B5525D"/>
    <w:rsid w:val="00B57289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41C0"/>
    <w:rsid w:val="00B76254"/>
    <w:rsid w:val="00B76F37"/>
    <w:rsid w:val="00B77226"/>
    <w:rsid w:val="00B81117"/>
    <w:rsid w:val="00B8170E"/>
    <w:rsid w:val="00B82B8D"/>
    <w:rsid w:val="00B830A0"/>
    <w:rsid w:val="00B84370"/>
    <w:rsid w:val="00B84BD7"/>
    <w:rsid w:val="00B855E7"/>
    <w:rsid w:val="00B85EDB"/>
    <w:rsid w:val="00B8616E"/>
    <w:rsid w:val="00B87681"/>
    <w:rsid w:val="00B8770C"/>
    <w:rsid w:val="00B907E8"/>
    <w:rsid w:val="00B90F2C"/>
    <w:rsid w:val="00B92C5B"/>
    <w:rsid w:val="00B94EF2"/>
    <w:rsid w:val="00B95C8B"/>
    <w:rsid w:val="00B95C9B"/>
    <w:rsid w:val="00BA19E5"/>
    <w:rsid w:val="00BA3D2E"/>
    <w:rsid w:val="00BA4B74"/>
    <w:rsid w:val="00BA5425"/>
    <w:rsid w:val="00BA637B"/>
    <w:rsid w:val="00BA6A3F"/>
    <w:rsid w:val="00BA7350"/>
    <w:rsid w:val="00BB12B6"/>
    <w:rsid w:val="00BB17CB"/>
    <w:rsid w:val="00BB1AAE"/>
    <w:rsid w:val="00BB23A9"/>
    <w:rsid w:val="00BB3EDB"/>
    <w:rsid w:val="00BB4339"/>
    <w:rsid w:val="00BB5416"/>
    <w:rsid w:val="00BB7637"/>
    <w:rsid w:val="00BC0626"/>
    <w:rsid w:val="00BC18F8"/>
    <w:rsid w:val="00BC22A6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BEF"/>
    <w:rsid w:val="00BE7C6B"/>
    <w:rsid w:val="00BF0EDE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46E7"/>
    <w:rsid w:val="00C25C1C"/>
    <w:rsid w:val="00C25FBA"/>
    <w:rsid w:val="00C26789"/>
    <w:rsid w:val="00C27F6F"/>
    <w:rsid w:val="00C335E7"/>
    <w:rsid w:val="00C33B17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5892"/>
    <w:rsid w:val="00C576B7"/>
    <w:rsid w:val="00C57DFD"/>
    <w:rsid w:val="00C6112D"/>
    <w:rsid w:val="00C611DE"/>
    <w:rsid w:val="00C63209"/>
    <w:rsid w:val="00C64385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72C2"/>
    <w:rsid w:val="00C91239"/>
    <w:rsid w:val="00C925E7"/>
    <w:rsid w:val="00C93FE6"/>
    <w:rsid w:val="00C9548A"/>
    <w:rsid w:val="00C9582F"/>
    <w:rsid w:val="00C961BC"/>
    <w:rsid w:val="00C97753"/>
    <w:rsid w:val="00CA0C29"/>
    <w:rsid w:val="00CA231E"/>
    <w:rsid w:val="00CA2B23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0E6F"/>
    <w:rsid w:val="00CC25B8"/>
    <w:rsid w:val="00CC2B6B"/>
    <w:rsid w:val="00CC52F8"/>
    <w:rsid w:val="00CC559E"/>
    <w:rsid w:val="00CC7597"/>
    <w:rsid w:val="00CD2631"/>
    <w:rsid w:val="00CD331B"/>
    <w:rsid w:val="00CD3584"/>
    <w:rsid w:val="00CD41D6"/>
    <w:rsid w:val="00CD6462"/>
    <w:rsid w:val="00CD6ECD"/>
    <w:rsid w:val="00CE0BD3"/>
    <w:rsid w:val="00CE125D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1531"/>
    <w:rsid w:val="00D42586"/>
    <w:rsid w:val="00D451FC"/>
    <w:rsid w:val="00D53F48"/>
    <w:rsid w:val="00D54D90"/>
    <w:rsid w:val="00D57149"/>
    <w:rsid w:val="00D61539"/>
    <w:rsid w:val="00D62BB4"/>
    <w:rsid w:val="00D63B93"/>
    <w:rsid w:val="00D63CFD"/>
    <w:rsid w:val="00D700FA"/>
    <w:rsid w:val="00D7079C"/>
    <w:rsid w:val="00D72614"/>
    <w:rsid w:val="00D72975"/>
    <w:rsid w:val="00D72D6B"/>
    <w:rsid w:val="00D73CAF"/>
    <w:rsid w:val="00D7597F"/>
    <w:rsid w:val="00D75CAC"/>
    <w:rsid w:val="00D76516"/>
    <w:rsid w:val="00D76860"/>
    <w:rsid w:val="00D77E8D"/>
    <w:rsid w:val="00D80703"/>
    <w:rsid w:val="00D8107E"/>
    <w:rsid w:val="00D81864"/>
    <w:rsid w:val="00D833B7"/>
    <w:rsid w:val="00D83BA2"/>
    <w:rsid w:val="00D84EC0"/>
    <w:rsid w:val="00D85235"/>
    <w:rsid w:val="00D85776"/>
    <w:rsid w:val="00D85B79"/>
    <w:rsid w:val="00D85C31"/>
    <w:rsid w:val="00D87DC1"/>
    <w:rsid w:val="00D91ED3"/>
    <w:rsid w:val="00D92009"/>
    <w:rsid w:val="00D92383"/>
    <w:rsid w:val="00D94ABF"/>
    <w:rsid w:val="00D95617"/>
    <w:rsid w:val="00D95A1A"/>
    <w:rsid w:val="00D9772D"/>
    <w:rsid w:val="00DA2721"/>
    <w:rsid w:val="00DA3011"/>
    <w:rsid w:val="00DA50B7"/>
    <w:rsid w:val="00DA5820"/>
    <w:rsid w:val="00DB061C"/>
    <w:rsid w:val="00DB0B68"/>
    <w:rsid w:val="00DB28EA"/>
    <w:rsid w:val="00DB3BCF"/>
    <w:rsid w:val="00DB419E"/>
    <w:rsid w:val="00DB4215"/>
    <w:rsid w:val="00DB4B88"/>
    <w:rsid w:val="00DB5096"/>
    <w:rsid w:val="00DB53CE"/>
    <w:rsid w:val="00DB625F"/>
    <w:rsid w:val="00DB6496"/>
    <w:rsid w:val="00DB64D6"/>
    <w:rsid w:val="00DB7252"/>
    <w:rsid w:val="00DB73BD"/>
    <w:rsid w:val="00DC3D1B"/>
    <w:rsid w:val="00DC7F36"/>
    <w:rsid w:val="00DD0FD9"/>
    <w:rsid w:val="00DD1996"/>
    <w:rsid w:val="00DD21B3"/>
    <w:rsid w:val="00DD2482"/>
    <w:rsid w:val="00DD27BE"/>
    <w:rsid w:val="00DD507F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18EA"/>
    <w:rsid w:val="00DF1D28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44A0"/>
    <w:rsid w:val="00E15CB5"/>
    <w:rsid w:val="00E16B95"/>
    <w:rsid w:val="00E16E05"/>
    <w:rsid w:val="00E20502"/>
    <w:rsid w:val="00E25FAD"/>
    <w:rsid w:val="00E3024C"/>
    <w:rsid w:val="00E31C27"/>
    <w:rsid w:val="00E35EBF"/>
    <w:rsid w:val="00E36D95"/>
    <w:rsid w:val="00E37509"/>
    <w:rsid w:val="00E37C62"/>
    <w:rsid w:val="00E403A3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4C04"/>
    <w:rsid w:val="00E55F96"/>
    <w:rsid w:val="00E616AE"/>
    <w:rsid w:val="00E6191A"/>
    <w:rsid w:val="00E61FB7"/>
    <w:rsid w:val="00E62567"/>
    <w:rsid w:val="00E62C87"/>
    <w:rsid w:val="00E64B16"/>
    <w:rsid w:val="00E65120"/>
    <w:rsid w:val="00E66007"/>
    <w:rsid w:val="00E700D6"/>
    <w:rsid w:val="00E70911"/>
    <w:rsid w:val="00E71394"/>
    <w:rsid w:val="00E72E16"/>
    <w:rsid w:val="00E74E26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6DEA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034D"/>
    <w:rsid w:val="00EC1B42"/>
    <w:rsid w:val="00EC2EE4"/>
    <w:rsid w:val="00EC3344"/>
    <w:rsid w:val="00EC3994"/>
    <w:rsid w:val="00EC44BF"/>
    <w:rsid w:val="00EC6657"/>
    <w:rsid w:val="00EC7226"/>
    <w:rsid w:val="00EC74F9"/>
    <w:rsid w:val="00ED153D"/>
    <w:rsid w:val="00ED1AA1"/>
    <w:rsid w:val="00ED28BA"/>
    <w:rsid w:val="00ED3227"/>
    <w:rsid w:val="00ED3B20"/>
    <w:rsid w:val="00ED3B7F"/>
    <w:rsid w:val="00ED6D62"/>
    <w:rsid w:val="00ED7248"/>
    <w:rsid w:val="00EE0431"/>
    <w:rsid w:val="00EE0853"/>
    <w:rsid w:val="00EE2315"/>
    <w:rsid w:val="00EE33B1"/>
    <w:rsid w:val="00EE3854"/>
    <w:rsid w:val="00EE453E"/>
    <w:rsid w:val="00EE4624"/>
    <w:rsid w:val="00EE6E6B"/>
    <w:rsid w:val="00EE7552"/>
    <w:rsid w:val="00EE7D99"/>
    <w:rsid w:val="00EF040B"/>
    <w:rsid w:val="00EF0616"/>
    <w:rsid w:val="00EF073D"/>
    <w:rsid w:val="00EF1545"/>
    <w:rsid w:val="00EF2076"/>
    <w:rsid w:val="00EF3FCC"/>
    <w:rsid w:val="00EF410B"/>
    <w:rsid w:val="00EF488B"/>
    <w:rsid w:val="00EF5051"/>
    <w:rsid w:val="00EF53F6"/>
    <w:rsid w:val="00EF5C8F"/>
    <w:rsid w:val="00F02399"/>
    <w:rsid w:val="00F02678"/>
    <w:rsid w:val="00F0276F"/>
    <w:rsid w:val="00F0301D"/>
    <w:rsid w:val="00F0327D"/>
    <w:rsid w:val="00F040DC"/>
    <w:rsid w:val="00F072E9"/>
    <w:rsid w:val="00F113EE"/>
    <w:rsid w:val="00F1355B"/>
    <w:rsid w:val="00F13D11"/>
    <w:rsid w:val="00F142F9"/>
    <w:rsid w:val="00F14EAF"/>
    <w:rsid w:val="00F23E0D"/>
    <w:rsid w:val="00F24661"/>
    <w:rsid w:val="00F25A4B"/>
    <w:rsid w:val="00F27354"/>
    <w:rsid w:val="00F27EA0"/>
    <w:rsid w:val="00F31E90"/>
    <w:rsid w:val="00F32B8D"/>
    <w:rsid w:val="00F35525"/>
    <w:rsid w:val="00F357D6"/>
    <w:rsid w:val="00F41883"/>
    <w:rsid w:val="00F41A72"/>
    <w:rsid w:val="00F43330"/>
    <w:rsid w:val="00F43F2B"/>
    <w:rsid w:val="00F44585"/>
    <w:rsid w:val="00F44ED4"/>
    <w:rsid w:val="00F4720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568A"/>
    <w:rsid w:val="00F76404"/>
    <w:rsid w:val="00F76B4B"/>
    <w:rsid w:val="00F801C8"/>
    <w:rsid w:val="00F81138"/>
    <w:rsid w:val="00F82884"/>
    <w:rsid w:val="00F82F27"/>
    <w:rsid w:val="00F8397F"/>
    <w:rsid w:val="00F83DC8"/>
    <w:rsid w:val="00F85199"/>
    <w:rsid w:val="00F91F52"/>
    <w:rsid w:val="00F92226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433E"/>
    <w:rsid w:val="00FA6893"/>
    <w:rsid w:val="00FB032D"/>
    <w:rsid w:val="00FB1D08"/>
    <w:rsid w:val="00FB23D4"/>
    <w:rsid w:val="00FB2CE3"/>
    <w:rsid w:val="00FB3590"/>
    <w:rsid w:val="00FB36DE"/>
    <w:rsid w:val="00FB4A95"/>
    <w:rsid w:val="00FB4C31"/>
    <w:rsid w:val="00FB4D5A"/>
    <w:rsid w:val="00FB5B76"/>
    <w:rsid w:val="00FB697B"/>
    <w:rsid w:val="00FB6A87"/>
    <w:rsid w:val="00FB7A9E"/>
    <w:rsid w:val="00FB7FE2"/>
    <w:rsid w:val="00FC311A"/>
    <w:rsid w:val="00FC3FED"/>
    <w:rsid w:val="00FC572C"/>
    <w:rsid w:val="00FC6D59"/>
    <w:rsid w:val="00FC7068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421A"/>
    <w:rsid w:val="00FE565A"/>
    <w:rsid w:val="00FE6BD9"/>
    <w:rsid w:val="00FF1116"/>
    <w:rsid w:val="00FF1634"/>
    <w:rsid w:val="00FF3586"/>
    <w:rsid w:val="00FF4461"/>
    <w:rsid w:val="00FF467E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482F53"/>
  </w:style>
  <w:style w:type="character" w:customStyle="1" w:styleId="FootnoteTextChar">
    <w:name w:val="Footnote Text Char"/>
    <w:basedOn w:val="DefaultParagraphFont"/>
    <w:link w:val="FootnoteText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482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22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EC7226"/>
    <w:rPr>
      <w:vertAlign w:val="superscript"/>
    </w:rPr>
  </w:style>
  <w:style w:type="table" w:styleId="TableGrid">
    <w:name w:val="Table Grid"/>
    <w:basedOn w:val="TableNormal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9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Title">
    <w:name w:val="Title"/>
    <w:basedOn w:val="Normal"/>
    <w:next w:val="Normal"/>
    <w:link w:val="TitleChar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B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496"/>
  </w:style>
  <w:style w:type="character" w:customStyle="1" w:styleId="CommentTextChar">
    <w:name w:val="Comment Text Char"/>
    <w:basedOn w:val="DefaultParagraphFont"/>
    <w:link w:val="CommentText"/>
    <w:uiPriority w:val="99"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38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4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9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regularpublications/statistic_bulletin/bulletin2024/" TargetMode="External"/><Relationship Id="rId1" Type="http://schemas.openxmlformats.org/officeDocument/2006/relationships/hyperlink" Target="https://www.boi.org.il/publications/regularpublications/statistic_bulletin/bulletin2024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4B2C-11B7-45AB-ABCF-0C87EF0B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878</Words>
  <Characters>4392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2025-03-25T07:07:00Z</dcterms:created>
  <dcterms:modified xsi:type="dcterms:W3CDTF">2025-03-25T07:07:00Z</dcterms:modified>
</cp:coreProperties>
</file>