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D" w:rsidRPr="00C93FE6" w:rsidRDefault="004E549D">
      <w:pPr>
        <w:bidi/>
        <w:rPr>
          <w:rFonts w:asciiTheme="minorHAnsi" w:hAnsiTheme="minorHAnsi" w:cstheme="minorHAnsi"/>
          <w:rtl/>
        </w:rPr>
      </w:pPr>
    </w:p>
    <w:p w:rsidR="00ED3B7F" w:rsidRPr="00C93FE6" w:rsidRDefault="00ED3B7F" w:rsidP="00ED3B7F">
      <w:pPr>
        <w:bidi/>
        <w:rPr>
          <w:rFonts w:asciiTheme="minorHAnsi" w:hAnsiTheme="minorHAnsi" w:cstheme="minorHAnsi"/>
        </w:rPr>
      </w:pPr>
    </w:p>
    <w:tbl>
      <w:tblPr>
        <w:bidiVisual/>
        <w:tblW w:w="9310" w:type="dxa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C93FE6" w:rsidTr="004E549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C93FE6" w:rsidRDefault="00060CD7" w:rsidP="00343EF2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3FE6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בנק ישראל</w:t>
            </w:r>
          </w:p>
          <w:p w:rsidR="00060CD7" w:rsidRPr="00C93FE6" w:rsidRDefault="00060CD7" w:rsidP="00343EF2">
            <w:pPr>
              <w:bidi/>
              <w:spacing w:line="360" w:lineRule="auto"/>
              <w:ind w:right="-1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3FE6">
              <w:rPr>
                <w:rFonts w:asciiTheme="minorHAnsi" w:hAnsiTheme="minorHAnsi" w:cs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Pr="00C93FE6" w:rsidRDefault="003F7838" w:rsidP="00343EF2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C93FE6">
              <w:rPr>
                <w:rFonts w:asciiTheme="minorHAnsi" w:hAnsiTheme="minorHAnsi" w:cstheme="minorHAnsi"/>
                <w:noProof/>
                <w:rtl/>
                <w:lang w:eastAsia="en-US"/>
              </w:rPr>
              <w:drawing>
                <wp:anchor distT="0" distB="0" distL="114300" distR="114300" simplePos="0" relativeHeight="251654144" behindDoc="0" locked="0" layoutInCell="1" allowOverlap="1" wp14:anchorId="1F2D9035" wp14:editId="320202F8">
                  <wp:simplePos x="0" y="0"/>
                  <wp:positionH relativeFrom="margin">
                    <wp:posOffset>342350</wp:posOffset>
                  </wp:positionH>
                  <wp:positionV relativeFrom="margin">
                    <wp:posOffset>146685</wp:posOffset>
                  </wp:positionV>
                  <wp:extent cx="1191260" cy="1191260"/>
                  <wp:effectExtent l="0" t="0" r="8890" b="8890"/>
                  <wp:wrapSquare wrapText="bothSides"/>
                  <wp:docPr id="2" name="Picture 1" descr="C:\Users\u17x\Desktop\תמונת לוגו (jp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17x\Desktop\תמונת לוגו (jp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C93FE6" w:rsidRDefault="00060CD7" w:rsidP="006A5495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93FE6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‏ירושלים, </w:t>
            </w:r>
            <w:r w:rsidR="006A5495" w:rsidRPr="00C93FE6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כ' באדר </w:t>
            </w:r>
            <w:proofErr w:type="spellStart"/>
            <w:r w:rsidR="00B70501" w:rsidRPr="00C93FE6">
              <w:rPr>
                <w:rFonts w:asciiTheme="minorHAnsi" w:hAnsiTheme="minorHAnsi" w:cstheme="minorHAnsi"/>
                <w:sz w:val="24"/>
                <w:szCs w:val="24"/>
                <w:rtl/>
              </w:rPr>
              <w:t>התש</w:t>
            </w:r>
            <w:r w:rsidR="009C1CC8" w:rsidRPr="00C93FE6">
              <w:rPr>
                <w:rFonts w:asciiTheme="minorHAnsi" w:hAnsiTheme="minorHAnsi" w:cstheme="minorHAnsi"/>
                <w:sz w:val="24"/>
                <w:szCs w:val="24"/>
                <w:rtl/>
              </w:rPr>
              <w:t>פ"</w:t>
            </w:r>
            <w:r w:rsidR="006A5495" w:rsidRPr="00C93FE6">
              <w:rPr>
                <w:rFonts w:asciiTheme="minorHAnsi" w:hAnsiTheme="minorHAnsi" w:cstheme="minorHAnsi"/>
                <w:sz w:val="24"/>
                <w:szCs w:val="24"/>
                <w:rtl/>
              </w:rPr>
              <w:t>ה</w:t>
            </w:r>
            <w:proofErr w:type="spellEnd"/>
          </w:p>
          <w:p w:rsidR="00060CD7" w:rsidRPr="00C93FE6" w:rsidRDefault="006A5495" w:rsidP="006A5495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C93FE6">
              <w:rPr>
                <w:rFonts w:asciiTheme="minorHAnsi" w:hAnsiTheme="minorHAnsi" w:cstheme="minorHAnsi"/>
                <w:sz w:val="24"/>
                <w:szCs w:val="24"/>
                <w:rtl/>
              </w:rPr>
              <w:t>20 למרץ 2025</w:t>
            </w:r>
          </w:p>
          <w:p w:rsidR="009164C6" w:rsidRPr="00C93FE6" w:rsidRDefault="009164C6" w:rsidP="009164C6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60CD7" w:rsidRPr="00C93FE6" w:rsidRDefault="00060CD7" w:rsidP="00060CD7">
      <w:pPr>
        <w:bidi/>
        <w:spacing w:line="360" w:lineRule="auto"/>
        <w:ind w:right="-101"/>
        <w:rPr>
          <w:rFonts w:asciiTheme="minorHAnsi" w:hAnsiTheme="minorHAnsi" w:cstheme="minorHAnsi"/>
          <w:sz w:val="24"/>
          <w:szCs w:val="24"/>
          <w:rtl/>
        </w:rPr>
      </w:pPr>
      <w:r w:rsidRPr="00C93FE6">
        <w:rPr>
          <w:rFonts w:asciiTheme="minorHAnsi" w:hAnsiTheme="minorHAnsi" w:cstheme="minorHAnsi"/>
          <w:sz w:val="24"/>
          <w:szCs w:val="24"/>
          <w:rtl/>
        </w:rPr>
        <w:t>הודעה לעיתונות:</w:t>
      </w:r>
    </w:p>
    <w:p w:rsidR="00450DA7" w:rsidRPr="00C93FE6" w:rsidRDefault="002E4CFF" w:rsidP="004F7549">
      <w:pPr>
        <w:pStyle w:val="Title"/>
        <w:pBdr>
          <w:bottom w:val="single" w:sz="4" w:space="4" w:color="auto"/>
        </w:pBdr>
        <w:bidi/>
        <w:spacing w:line="360" w:lineRule="auto"/>
        <w:jc w:val="center"/>
        <w:rPr>
          <w:rFonts w:asciiTheme="minorHAnsi" w:hAnsiTheme="minorHAnsi" w:cstheme="minorHAnsi"/>
          <w:color w:val="1F497D"/>
          <w:rtl/>
        </w:rPr>
      </w:pPr>
      <w:r w:rsidRPr="00C93FE6">
        <w:rPr>
          <w:rFonts w:asciiTheme="minorHAnsi" w:hAnsiTheme="minorHAnsi" w:cstheme="minorHAnsi"/>
          <w:b/>
          <w:bCs/>
          <w:sz w:val="28"/>
          <w:szCs w:val="28"/>
          <w:rtl/>
        </w:rPr>
        <w:t>המסחר ב</w:t>
      </w:r>
      <w:r w:rsidR="003544E1" w:rsidRPr="00C93FE6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שוק מטבע החוץ </w:t>
      </w:r>
      <w:r w:rsidR="0055353D" w:rsidRPr="00C93FE6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ברביע </w:t>
      </w:r>
      <w:r w:rsidR="00FA433E" w:rsidRPr="00C93FE6">
        <w:rPr>
          <w:rFonts w:asciiTheme="minorHAnsi" w:hAnsiTheme="minorHAnsi" w:cstheme="minorHAnsi"/>
          <w:b/>
          <w:bCs/>
          <w:sz w:val="28"/>
          <w:szCs w:val="28"/>
          <w:rtl/>
        </w:rPr>
        <w:t>ה</w:t>
      </w:r>
      <w:r w:rsidR="004F7549" w:rsidRPr="00C93FE6">
        <w:rPr>
          <w:rFonts w:asciiTheme="minorHAnsi" w:hAnsiTheme="minorHAnsi" w:cstheme="minorHAnsi"/>
          <w:b/>
          <w:bCs/>
          <w:sz w:val="28"/>
          <w:szCs w:val="28"/>
          <w:rtl/>
        </w:rPr>
        <w:t>רביעי</w:t>
      </w:r>
      <w:r w:rsidR="008C1D87" w:rsidRPr="00C93FE6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55353D" w:rsidRPr="00C93FE6">
        <w:rPr>
          <w:rFonts w:asciiTheme="minorHAnsi" w:hAnsiTheme="minorHAnsi" w:cstheme="minorHAnsi"/>
          <w:b/>
          <w:bCs/>
          <w:sz w:val="28"/>
          <w:szCs w:val="28"/>
          <w:rtl/>
        </w:rPr>
        <w:t>של שנת</w:t>
      </w:r>
      <w:r w:rsidR="003544E1" w:rsidRPr="00C93FE6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281E65" w:rsidRPr="00C93FE6">
        <w:rPr>
          <w:rFonts w:asciiTheme="minorHAnsi" w:hAnsiTheme="minorHAnsi" w:cstheme="minorHAnsi"/>
          <w:b/>
          <w:bCs/>
          <w:sz w:val="28"/>
          <w:szCs w:val="28"/>
          <w:rtl/>
        </w:rPr>
        <w:t>2024</w:t>
      </w:r>
      <w:r w:rsidR="00450DA7" w:rsidRPr="00C93FE6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</w:p>
    <w:p w:rsidR="00E44207" w:rsidRPr="00C93FE6" w:rsidRDefault="00E44207" w:rsidP="009A6026">
      <w:pPr>
        <w:pStyle w:val="Heading1"/>
        <w:bidi/>
        <w:spacing w:line="360" w:lineRule="auto"/>
        <w:rPr>
          <w:rFonts w:asciiTheme="minorHAnsi" w:eastAsia="Times New Roman" w:hAnsiTheme="minorHAnsi" w:cstheme="minorHAnsi"/>
          <w:color w:val="FF0000"/>
          <w:sz w:val="24"/>
          <w:szCs w:val="24"/>
          <w:rtl/>
        </w:rPr>
      </w:pPr>
      <w:r w:rsidRPr="00C93FE6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התפתחות שער החליפין –</w:t>
      </w:r>
      <w:r w:rsidR="00FC311A" w:rsidRPr="00C93FE6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 xml:space="preserve"> </w:t>
      </w:r>
      <w:r w:rsidR="00FA433E" w:rsidRPr="00C93FE6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התחזקות</w:t>
      </w:r>
      <w:r w:rsidR="00BF0EDE" w:rsidRPr="00C93FE6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 xml:space="preserve"> </w:t>
      </w:r>
      <w:r w:rsidR="00FA433E" w:rsidRPr="00C93FE6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השקל</w:t>
      </w:r>
      <w:r w:rsidR="00192BA0" w:rsidRPr="00C93FE6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 xml:space="preserve"> </w:t>
      </w:r>
      <w:r w:rsidR="009A6026" w:rsidRPr="00C93FE6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 xml:space="preserve">לצד התחזקות </w:t>
      </w:r>
      <w:r w:rsidR="00BF0EDE" w:rsidRPr="00C93FE6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של</w:t>
      </w:r>
      <w:r w:rsidR="00192BA0" w:rsidRPr="00C93FE6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 xml:space="preserve"> הדולר בעולם</w:t>
      </w:r>
      <w:r w:rsidR="009C4F37" w:rsidRPr="00C93FE6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.</w:t>
      </w:r>
    </w:p>
    <w:p w:rsidR="00404881" w:rsidRPr="00C93FE6" w:rsidRDefault="00404881" w:rsidP="00404881">
      <w:pPr>
        <w:bidi/>
        <w:rPr>
          <w:rFonts w:asciiTheme="minorHAnsi" w:hAnsiTheme="minorHAnsi" w:cstheme="minorHAnsi"/>
          <w:rtl/>
        </w:rPr>
      </w:pPr>
    </w:p>
    <w:p w:rsidR="00DD507F" w:rsidRPr="00C93FE6" w:rsidRDefault="0036171D" w:rsidP="00962B48">
      <w:pPr>
        <w:bidi/>
        <w:spacing w:line="480" w:lineRule="auto"/>
        <w:ind w:right="-101"/>
        <w:jc w:val="both"/>
        <w:rPr>
          <w:rFonts w:asciiTheme="minorHAnsi" w:hAnsiTheme="minorHAnsi" w:cstheme="minorHAnsi"/>
          <w:color w:val="000000" w:themeColor="text1"/>
          <w:sz w:val="24"/>
          <w:szCs w:val="24"/>
          <w:rtl/>
        </w:rPr>
      </w:pPr>
      <w:r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במהלך </w:t>
      </w:r>
      <w:r w:rsidR="001E7D3F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הרביע </w:t>
      </w:r>
      <w:r w:rsidR="001D2425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הרביעי</w:t>
      </w:r>
      <w:r w:rsidR="00BA637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,</w:t>
      </w:r>
      <w:r w:rsidR="00BF0EDE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962B4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התחזק </w:t>
      </w:r>
      <w:r w:rsidR="00EC2EE4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השקל מול הדולר</w:t>
      </w:r>
      <w:r w:rsidR="00426FE4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proofErr w:type="spellStart"/>
      <w:r w:rsidR="00FA433E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בכ</w:t>
      </w:r>
      <w:proofErr w:type="spellEnd"/>
      <w:r w:rsidR="00FA433E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- </w:t>
      </w:r>
      <w:r w:rsidR="00845196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1.7</w:t>
      </w:r>
      <w:r w:rsidR="00962B4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%</w:t>
      </w:r>
      <w:r w:rsidR="00FA433E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1D2425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ו</w:t>
      </w:r>
      <w:r w:rsidR="00FA433E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מול האירו</w:t>
      </w:r>
      <w:r w:rsidR="001D2425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התחזק</w:t>
      </w:r>
      <w:r w:rsidR="00FA433E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A2207D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בשיעור של </w:t>
      </w:r>
      <w:r w:rsidR="006C5C49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8.6</w:t>
      </w:r>
      <w:r w:rsidR="00FA433E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%</w:t>
      </w:r>
      <w:r w:rsidR="00426FE4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.</w:t>
      </w:r>
      <w:r w:rsidR="00A2207D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1F40C2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כמו כן, </w:t>
      </w:r>
      <w:r w:rsidR="00962B4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התחזק </w:t>
      </w:r>
      <w:r w:rsidR="00A2207D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השקל </w:t>
      </w:r>
      <w:r w:rsidR="001F40C2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ב- </w:t>
      </w:r>
      <w:r w:rsidR="006C5C49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6.1</w:t>
      </w:r>
      <w:r w:rsidR="001F40C2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% </w:t>
      </w:r>
      <w:r w:rsidR="00EC1B42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מ</w:t>
      </w:r>
      <w:r w:rsidR="003544E1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ול מטבעות שותפות הסחר העיקריות של ישראל, כפי שמשוקלל ב</w:t>
      </w:r>
      <w:r w:rsidR="00B16DD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מדד </w:t>
      </w:r>
      <w:r w:rsidR="003544E1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שער החליפין הנומינאלי אפקטיבי</w:t>
      </w:r>
      <w:r w:rsidR="000D2936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.</w:t>
      </w:r>
      <w:r w:rsidR="00DD507F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</w:p>
    <w:p w:rsidR="00825944" w:rsidRPr="00C93FE6" w:rsidRDefault="00C93FE6" w:rsidP="009A6026">
      <w:pPr>
        <w:bidi/>
        <w:spacing w:line="360" w:lineRule="auto"/>
        <w:ind w:right="-101"/>
        <w:rPr>
          <w:rFonts w:asciiTheme="minorHAnsi" w:hAnsiTheme="minorHAnsi" w:cstheme="minorHAnsi"/>
          <w:color w:val="000000" w:themeColor="text1"/>
          <w:sz w:val="24"/>
          <w:szCs w:val="24"/>
          <w:rtl/>
        </w:rPr>
      </w:pPr>
      <w:r w:rsidRPr="00C93FE6">
        <w:rPr>
          <w:rFonts w:asciiTheme="minorHAnsi" w:hAnsiTheme="minorHAnsi" w:cstheme="minorHAnsi"/>
          <w:noProof/>
          <w:sz w:val="24"/>
          <w:szCs w:val="24"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538628</wp:posOffset>
            </wp:positionH>
            <wp:positionV relativeFrom="paragraph">
              <wp:posOffset>662866</wp:posOffset>
            </wp:positionV>
            <wp:extent cx="5426710" cy="2819400"/>
            <wp:effectExtent l="0" t="0" r="254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3FE6">
        <w:rPr>
          <w:rFonts w:asciiTheme="minorHAnsi" w:hAnsiTheme="minorHAnsi" w:cstheme="minorHAnsi"/>
          <w:noProof/>
          <w:sz w:val="24"/>
          <w:szCs w:val="24"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513299</wp:posOffset>
            </wp:positionH>
            <wp:positionV relativeFrom="page">
              <wp:align>bottom</wp:align>
            </wp:positionV>
            <wp:extent cx="5427380" cy="2587584"/>
            <wp:effectExtent l="0" t="0" r="1905" b="3810"/>
            <wp:wrapThrough wrapText="bothSides">
              <wp:wrapPolygon edited="0">
                <wp:start x="0" y="0"/>
                <wp:lineTo x="0" y="21473"/>
                <wp:lineTo x="21532" y="21473"/>
                <wp:lineTo x="21532" y="318"/>
                <wp:lineTo x="2138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380" cy="2587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C05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בעולם,</w:t>
      </w:r>
      <w:r w:rsidR="0064335A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614C05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הדולר </w:t>
      </w:r>
      <w:r w:rsidR="001D2425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התחזק</w:t>
      </w:r>
      <w:r w:rsidR="0064335A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9E7C6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מול רוב המטבעות </w:t>
      </w:r>
      <w:r w:rsidR="0051453C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העיקריים </w:t>
      </w:r>
      <w:r w:rsidR="009E7C6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(תרשים 2)</w:t>
      </w:r>
      <w:r w:rsidR="0064335A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.</w:t>
      </w:r>
      <w:r w:rsidR="009E7C6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030347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64335A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בין היתר </w:t>
      </w:r>
      <w:r w:rsidR="001D2425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התחזק</w:t>
      </w:r>
      <w:r w:rsidR="0064335A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הדולר</w:t>
      </w:r>
      <w:r w:rsidR="0051453C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proofErr w:type="spellStart"/>
      <w:r w:rsidR="0051453C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ב</w:t>
      </w:r>
      <w:r w:rsidR="001D2425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כ</w:t>
      </w:r>
      <w:proofErr w:type="spellEnd"/>
      <w:r w:rsidR="0051453C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- </w:t>
      </w:r>
      <w:r w:rsidR="00FC706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9.9</w:t>
      </w:r>
      <w:r w:rsidR="0051453C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% מול היין היפני</w:t>
      </w:r>
      <w:r w:rsidR="0051453C" w:rsidRPr="00C93F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51453C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ו</w:t>
      </w:r>
      <w:r w:rsidR="009E7C6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ב</w:t>
      </w:r>
      <w:r w:rsidR="001D2425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כ</w:t>
      </w:r>
      <w:proofErr w:type="spellEnd"/>
      <w:r w:rsidR="009E7C6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- </w:t>
      </w:r>
      <w:r w:rsidR="001D2425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7</w:t>
      </w:r>
      <w:r w:rsidR="00FC706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.5</w:t>
      </w:r>
      <w:r w:rsidR="009E7C6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% מול האירו. </w:t>
      </w:r>
    </w:p>
    <w:p w:rsidR="00BB7637" w:rsidRPr="00C93FE6" w:rsidRDefault="00BB7637" w:rsidP="00BB7637">
      <w:pPr>
        <w:bidi/>
        <w:spacing w:line="360" w:lineRule="auto"/>
        <w:ind w:right="-101"/>
        <w:rPr>
          <w:rFonts w:asciiTheme="minorHAnsi" w:hAnsiTheme="minorHAnsi" w:cstheme="minorHAnsi"/>
          <w:sz w:val="24"/>
          <w:szCs w:val="24"/>
          <w:rtl/>
        </w:rPr>
      </w:pPr>
    </w:p>
    <w:p w:rsidR="00804DD2" w:rsidRPr="00C93FE6" w:rsidRDefault="00804DD2" w:rsidP="002C36B1">
      <w:pPr>
        <w:bidi/>
        <w:spacing w:line="360" w:lineRule="auto"/>
        <w:ind w:right="-101"/>
        <w:rPr>
          <w:rFonts w:asciiTheme="minorHAnsi" w:hAnsiTheme="minorHAnsi" w:cstheme="minorHAnsi"/>
          <w:color w:val="1F497D" w:themeColor="text2"/>
          <w:sz w:val="24"/>
          <w:szCs w:val="24"/>
          <w:rtl/>
        </w:rPr>
      </w:pPr>
      <w:r w:rsidRPr="00C93FE6">
        <w:rPr>
          <w:rFonts w:asciiTheme="minorHAnsi" w:hAnsiTheme="minorHAnsi" w:cstheme="minorHAnsi"/>
          <w:color w:val="1F497D" w:themeColor="text2"/>
          <w:sz w:val="24"/>
          <w:szCs w:val="24"/>
          <w:rtl/>
        </w:rPr>
        <w:lastRenderedPageBreak/>
        <w:t>תנודתיות שע"ח –</w:t>
      </w:r>
      <w:r w:rsidR="00E66007" w:rsidRPr="00C93FE6">
        <w:rPr>
          <w:rFonts w:asciiTheme="minorHAnsi" w:hAnsiTheme="minorHAnsi" w:cstheme="minorHAnsi"/>
          <w:color w:val="1F497D" w:themeColor="text2"/>
          <w:sz w:val="24"/>
          <w:szCs w:val="24"/>
          <w:rtl/>
        </w:rPr>
        <w:t xml:space="preserve"> </w:t>
      </w:r>
      <w:r w:rsidR="00F13D11" w:rsidRPr="00C93FE6">
        <w:rPr>
          <w:rFonts w:asciiTheme="minorHAnsi" w:hAnsiTheme="minorHAnsi" w:cstheme="minorHAnsi"/>
          <w:color w:val="1F497D" w:themeColor="text2"/>
          <w:sz w:val="24"/>
          <w:szCs w:val="24"/>
          <w:rtl/>
        </w:rPr>
        <w:t>ירידה</w:t>
      </w:r>
      <w:r w:rsidR="00F41883" w:rsidRPr="00C93FE6">
        <w:rPr>
          <w:rFonts w:asciiTheme="minorHAnsi" w:hAnsiTheme="minorHAnsi" w:cstheme="minorHAnsi"/>
          <w:color w:val="1F497D" w:themeColor="text2"/>
          <w:sz w:val="24"/>
          <w:szCs w:val="24"/>
          <w:rtl/>
        </w:rPr>
        <w:t xml:space="preserve"> </w:t>
      </w:r>
      <w:r w:rsidR="00D233E4" w:rsidRPr="00C93FE6">
        <w:rPr>
          <w:rFonts w:asciiTheme="minorHAnsi" w:hAnsiTheme="minorHAnsi" w:cstheme="minorHAnsi"/>
          <w:color w:val="1F497D" w:themeColor="text2"/>
          <w:sz w:val="24"/>
          <w:szCs w:val="24"/>
          <w:rtl/>
        </w:rPr>
        <w:t xml:space="preserve">בסטיית התקן בפועל </w:t>
      </w:r>
      <w:r w:rsidR="00641006" w:rsidRPr="00C93FE6">
        <w:rPr>
          <w:rFonts w:asciiTheme="minorHAnsi" w:hAnsiTheme="minorHAnsi" w:cstheme="minorHAnsi"/>
          <w:color w:val="1F497D" w:themeColor="text2"/>
          <w:sz w:val="24"/>
          <w:szCs w:val="24"/>
          <w:rtl/>
        </w:rPr>
        <w:t xml:space="preserve">לצד </w:t>
      </w:r>
      <w:r w:rsidR="002C36B1" w:rsidRPr="00C93FE6">
        <w:rPr>
          <w:rFonts w:asciiTheme="minorHAnsi" w:hAnsiTheme="minorHAnsi" w:cstheme="minorHAnsi"/>
          <w:color w:val="1F497D" w:themeColor="text2"/>
          <w:sz w:val="24"/>
          <w:szCs w:val="24"/>
          <w:rtl/>
        </w:rPr>
        <w:t xml:space="preserve">ירידה </w:t>
      </w:r>
      <w:r w:rsidR="00641006" w:rsidRPr="00C93FE6">
        <w:rPr>
          <w:rFonts w:asciiTheme="minorHAnsi" w:hAnsiTheme="minorHAnsi" w:cstheme="minorHAnsi"/>
          <w:color w:val="1F497D" w:themeColor="text2"/>
          <w:sz w:val="24"/>
          <w:szCs w:val="24"/>
          <w:rtl/>
        </w:rPr>
        <w:t>בסטיית התקן הגלומה</w:t>
      </w:r>
    </w:p>
    <w:p w:rsidR="00404881" w:rsidRPr="00C93FE6" w:rsidRDefault="00404881" w:rsidP="00404881">
      <w:pPr>
        <w:bidi/>
        <w:rPr>
          <w:rFonts w:asciiTheme="minorHAnsi" w:hAnsiTheme="minorHAnsi" w:cstheme="minorHAnsi"/>
          <w:color w:val="000000" w:themeColor="text1"/>
          <w:rtl/>
        </w:rPr>
      </w:pPr>
    </w:p>
    <w:p w:rsidR="00355BA0" w:rsidRPr="00C93FE6" w:rsidRDefault="00E474AB" w:rsidP="005D4298">
      <w:pPr>
        <w:bidi/>
        <w:spacing w:line="480" w:lineRule="auto"/>
        <w:ind w:right="-10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סטיית התקן </w:t>
      </w:r>
      <w:r w:rsidR="00F13D11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הממוצעת </w:t>
      </w:r>
      <w:r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של השינוי בשער החליפין שקל/דולר – המייצגת את התנודתיות</w:t>
      </w:r>
      <w:r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 xml:space="preserve"> בפועל</w:t>
      </w:r>
      <w:r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בשער החליפין –</w:t>
      </w:r>
      <w:r w:rsidR="00F13D11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ירדה</w:t>
      </w:r>
      <w:r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במהלך הרביע</w:t>
      </w:r>
      <w:r w:rsidR="00733263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ב </w:t>
      </w:r>
      <w:r w:rsidR="005D429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0.2</w:t>
      </w:r>
      <w:r w:rsidR="005D4298" w:rsidRPr="00C93F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429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נקודות אחוז</w:t>
      </w:r>
      <w:r w:rsidR="00A16391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לרמה </w:t>
      </w:r>
      <w:r w:rsidR="00DC3D1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ממוצעת </w:t>
      </w:r>
      <w:r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של </w:t>
      </w:r>
      <w:r w:rsidR="005D429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9</w:t>
      </w:r>
      <w:r w:rsidR="00A16391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.</w:t>
      </w:r>
      <w:r w:rsidR="005D429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9</w:t>
      </w:r>
      <w:r w:rsidR="009C48BC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%</w:t>
      </w:r>
      <w:r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.</w:t>
      </w:r>
    </w:p>
    <w:p w:rsidR="00323FCE" w:rsidRPr="00C93FE6" w:rsidRDefault="00E474AB" w:rsidP="005D4298">
      <w:pPr>
        <w:bidi/>
        <w:spacing w:line="480" w:lineRule="auto"/>
        <w:ind w:right="-101"/>
        <w:jc w:val="both"/>
        <w:rPr>
          <w:rFonts w:asciiTheme="minorHAnsi" w:hAnsiTheme="minorHAnsi" w:cstheme="minorHAnsi"/>
          <w:color w:val="000000" w:themeColor="text1"/>
          <w:sz w:val="24"/>
          <w:szCs w:val="24"/>
          <w:rtl/>
        </w:rPr>
      </w:pPr>
      <w:r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סטיית התקן הגלומה באופציות על שער החליפין שקל/דולר הנסחרות "מעבר לדלפק" – המייצגת את התנודתיות </w:t>
      </w:r>
      <w:r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>הצפויה</w:t>
      </w:r>
      <w:r w:rsidR="006A56AC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 xml:space="preserve"> </w:t>
      </w:r>
      <w:r w:rsidR="006A56AC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בשער החליפין – </w:t>
      </w:r>
      <w:r w:rsidR="002636D1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ירדה </w:t>
      </w:r>
      <w:proofErr w:type="spellStart"/>
      <w:r w:rsidR="002636D1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בכ</w:t>
      </w:r>
      <w:proofErr w:type="spellEnd"/>
      <w:r w:rsidR="002636D1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- </w:t>
      </w:r>
      <w:r w:rsidR="005D429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0.7</w:t>
      </w:r>
      <w:r w:rsidR="002636D1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%</w:t>
      </w:r>
      <w:r w:rsidR="00641006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6A56AC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ועמדה בסוף הרביע על רמה ממוצעת של </w:t>
      </w:r>
      <w:r w:rsidR="002636D1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–</w:t>
      </w:r>
      <w:r w:rsidR="006A56AC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5D429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10.2</w:t>
      </w:r>
      <w:r w:rsidR="006A56AC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%.</w:t>
      </w:r>
      <w:r w:rsidR="00ED3B7F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</w:p>
    <w:p w:rsidR="00E474AB" w:rsidRPr="00C93FE6" w:rsidRDefault="00962B48" w:rsidP="00BB1AAE">
      <w:pPr>
        <w:bidi/>
        <w:spacing w:line="480" w:lineRule="auto"/>
        <w:ind w:right="-101"/>
        <w:jc w:val="both"/>
        <w:rPr>
          <w:rFonts w:asciiTheme="minorHAnsi" w:hAnsiTheme="minorHAnsi" w:cstheme="minorHAnsi"/>
          <w:color w:val="000000" w:themeColor="text1"/>
          <w:sz w:val="24"/>
          <w:szCs w:val="24"/>
          <w:rtl/>
        </w:rPr>
      </w:pPr>
      <w:r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זאת בניגוד ל</w:t>
      </w:r>
      <w:r w:rsidR="00E474A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רמתה הממוצעת של סטיית התקן הגלומה באופציות על מט"ח בשווקים מתעוררים </w:t>
      </w:r>
      <w:r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שעלתה ב-0.7 נקודות האחוז בהשוואה לרביע הקודם, ועמדה </w:t>
      </w:r>
      <w:r w:rsidR="00E474A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בסוף הרביע על </w:t>
      </w:r>
      <w:r w:rsidR="000D3D94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11</w:t>
      </w:r>
      <w:r w:rsidR="00E474A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%</w:t>
      </w:r>
      <w:r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. עלייה דומה נרשמה גם ב</w:t>
      </w:r>
      <w:r w:rsidR="00E474A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רמתה הממוצעת של סטיית תקן זו בשווקים מפותחים </w:t>
      </w:r>
      <w:r w:rsidR="00B57289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והיא </w:t>
      </w:r>
      <w:r w:rsidR="00E474A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עמדה </w:t>
      </w:r>
      <w:r w:rsidR="00B57289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בסוף </w:t>
      </w:r>
      <w:r w:rsidR="00E474A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הרביע על</w:t>
      </w:r>
      <w:r w:rsidR="00641006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B12910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8.</w:t>
      </w:r>
      <w:r w:rsidR="000D3D94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1</w:t>
      </w:r>
      <w:r w:rsidR="00641006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%</w:t>
      </w:r>
      <w:r w:rsidR="00BB1AAE" w:rsidRPr="00C93F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B1AAE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E474A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(תרשים 4).</w:t>
      </w:r>
    </w:p>
    <w:p w:rsidR="00E72E16" w:rsidRPr="00C93FE6" w:rsidRDefault="001D4055" w:rsidP="00E72E16">
      <w:pPr>
        <w:bidi/>
        <w:spacing w:line="480" w:lineRule="auto"/>
        <w:ind w:right="-10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3FE6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302895</wp:posOffset>
            </wp:positionV>
            <wp:extent cx="5424805" cy="2800350"/>
            <wp:effectExtent l="0" t="0" r="4445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E16" w:rsidRPr="00C93FE6" w:rsidRDefault="00E72E16" w:rsidP="00E72E16">
      <w:pPr>
        <w:bidi/>
        <w:spacing w:line="480" w:lineRule="auto"/>
        <w:ind w:right="-101"/>
        <w:jc w:val="both"/>
        <w:rPr>
          <w:rFonts w:asciiTheme="minorHAnsi" w:hAnsiTheme="minorHAnsi" w:cstheme="minorHAnsi"/>
          <w:color w:val="000000" w:themeColor="text1"/>
          <w:sz w:val="24"/>
          <w:szCs w:val="24"/>
          <w:rtl/>
        </w:rPr>
      </w:pPr>
    </w:p>
    <w:p w:rsidR="00345945" w:rsidRPr="00C93FE6" w:rsidRDefault="00C93FE6" w:rsidP="00641006">
      <w:pPr>
        <w:bidi/>
        <w:rPr>
          <w:rFonts w:asciiTheme="minorHAnsi" w:hAnsiTheme="minorHAnsi" w:cstheme="minorHAnsi"/>
          <w:noProof/>
          <w:lang w:eastAsia="en-US"/>
        </w:rPr>
      </w:pPr>
      <w:r w:rsidRPr="00C93FE6">
        <w:rPr>
          <w:rFonts w:asciiTheme="minorHAnsi" w:hAnsiTheme="minorHAnsi" w:cstheme="minorHAnsi"/>
          <w:noProof/>
          <w:color w:val="1F497D" w:themeColor="text2"/>
          <w:sz w:val="24"/>
          <w:szCs w:val="24"/>
          <w:rtl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296545</wp:posOffset>
            </wp:positionV>
            <wp:extent cx="5423535" cy="2806700"/>
            <wp:effectExtent l="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35" cy="280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639" w:rsidRPr="00C93FE6" w:rsidRDefault="00592639" w:rsidP="00641006">
      <w:pPr>
        <w:spacing w:after="200" w:line="276" w:lineRule="auto"/>
        <w:jc w:val="center"/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</w:pPr>
      <w:r w:rsidRPr="00C93FE6">
        <w:rPr>
          <w:rFonts w:asciiTheme="minorHAnsi" w:hAnsiTheme="minorHAnsi" w:cstheme="minorHAnsi"/>
          <w:color w:val="1F497D" w:themeColor="text2"/>
          <w:sz w:val="24"/>
          <w:szCs w:val="24"/>
          <w:rtl/>
        </w:rPr>
        <w:br w:type="page"/>
      </w:r>
    </w:p>
    <w:p w:rsidR="00193994" w:rsidRPr="00C93FE6" w:rsidRDefault="00635EAE" w:rsidP="00193994">
      <w:pPr>
        <w:pStyle w:val="Heading1"/>
        <w:bidi/>
        <w:spacing w:line="360" w:lineRule="auto"/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sectPr w:rsidR="00193994" w:rsidRPr="00C93FE6" w:rsidSect="004E549D"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 w:rsidRPr="00C93FE6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lastRenderedPageBreak/>
        <w:t>פעילות המגזרים העיקריים</w:t>
      </w:r>
      <w:r w:rsidR="00D9772D" w:rsidRPr="00C93FE6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 xml:space="preserve"> בשוק </w:t>
      </w:r>
      <w:proofErr w:type="spellStart"/>
      <w:r w:rsidR="00D9772D" w:rsidRPr="00C93FE6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ה</w:t>
      </w:r>
      <w:r w:rsidR="00193994" w:rsidRPr="00C93FE6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מט"ח</w:t>
      </w:r>
      <w:proofErr w:type="spellEnd"/>
      <w:r w:rsidR="00292C1D" w:rsidRPr="00C93FE6">
        <w:rPr>
          <w:rStyle w:val="FootnoteReference"/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footnoteReference w:id="1"/>
      </w:r>
      <w:r w:rsidR="00193994" w:rsidRPr="00C93FE6">
        <w:rPr>
          <w:rStyle w:val="FootnoteReference"/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footnoteReference w:id="2"/>
      </w:r>
    </w:p>
    <w:p w:rsidR="00193994" w:rsidRPr="00C93FE6" w:rsidRDefault="00193994" w:rsidP="00193994">
      <w:pPr>
        <w:tabs>
          <w:tab w:val="left" w:pos="2047"/>
        </w:tabs>
        <w:rPr>
          <w:rFonts w:asciiTheme="minorHAnsi" w:hAnsiTheme="minorHAnsi" w:cstheme="minorHAnsi"/>
          <w:rtl/>
        </w:rPr>
        <w:sectPr w:rsidR="00193994" w:rsidRPr="00C93FE6" w:rsidSect="004E549D">
          <w:footerReference w:type="default" r:id="rId13"/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 w:rsidRPr="00C93FE6">
        <w:rPr>
          <w:rFonts w:asciiTheme="minorHAnsi" w:hAnsiTheme="minorHAnsi" w:cstheme="minorHAnsi"/>
        </w:rPr>
        <w:tab/>
      </w:r>
    </w:p>
    <w:p w:rsidR="00C246E7" w:rsidRPr="00C93FE6" w:rsidRDefault="001D4055" w:rsidP="002C36B1">
      <w:pPr>
        <w:bidi/>
        <w:spacing w:line="48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rtl/>
        </w:rPr>
      </w:pPr>
      <w:r w:rsidRPr="00C93FE6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 wp14:anchorId="0E6A6334" wp14:editId="508FD416">
            <wp:simplePos x="0" y="0"/>
            <wp:positionH relativeFrom="margin">
              <wp:posOffset>376555</wp:posOffset>
            </wp:positionH>
            <wp:positionV relativeFrom="paragraph">
              <wp:posOffset>840105</wp:posOffset>
            </wp:positionV>
            <wp:extent cx="5438775" cy="2514600"/>
            <wp:effectExtent l="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F1A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אומדן לפעילות המגזרים </w:t>
      </w:r>
      <w:r w:rsidR="000A3F1A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  <w:rtl/>
        </w:rPr>
        <w:t>העיקריים</w:t>
      </w:r>
      <w:r w:rsidR="003D7D42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בשוק </w:t>
      </w:r>
      <w:proofErr w:type="spellStart"/>
      <w:r w:rsidR="003D7D42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המט"ח</w:t>
      </w:r>
      <w:proofErr w:type="spellEnd"/>
      <w:r w:rsidR="003D7D42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מעלה כי</w:t>
      </w:r>
      <w:r w:rsidR="00D7597F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7A7D8A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במהלך </w:t>
      </w:r>
      <w:r w:rsidR="001E7D3F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הרביע </w:t>
      </w:r>
      <w:r w:rsidR="00CE125D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ה</w:t>
      </w:r>
      <w:r w:rsidR="00CD3584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רביעי</w:t>
      </w:r>
      <w:r w:rsidR="00A436A3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BF5F48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 xml:space="preserve">הגופים המוסדיים (קרנות פנסיה, </w:t>
      </w:r>
      <w:proofErr w:type="spellStart"/>
      <w:r w:rsidR="00BF5F48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>קופ"ג</w:t>
      </w:r>
      <w:proofErr w:type="spellEnd"/>
      <w:r w:rsidR="00BF5F48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 xml:space="preserve"> וחברות ביטוח)</w:t>
      </w:r>
      <w:r w:rsidR="00426FE4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 xml:space="preserve"> </w:t>
      </w:r>
      <w:r w:rsidR="00CD3584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>ותושבי חוץ מכרו מט"ח בסך 4.9 ו</w:t>
      </w:r>
      <w:r w:rsidR="00B57289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>-</w:t>
      </w:r>
      <w:r w:rsidR="00CD3584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 xml:space="preserve">4.4 מיליארד דולר בהתאמה ואילו </w:t>
      </w:r>
      <w:r w:rsidR="00426FE4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 xml:space="preserve">המגזר </w:t>
      </w:r>
      <w:r w:rsidR="00CD3584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>העסקי ו</w:t>
      </w:r>
      <w:r w:rsidR="00CE125D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>הפיננסי</w:t>
      </w:r>
      <w:r w:rsidR="00BF5F4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CD3584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>רכשו מט"ח בהיקף של 4.7 ו- 1.2 מיליארד דולר בהתאמה</w:t>
      </w:r>
      <w:r w:rsidR="00357823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>.</w:t>
      </w:r>
      <w:r w:rsidR="00357823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</w:p>
    <w:p w:rsidR="00CD3584" w:rsidRPr="00C93FE6" w:rsidRDefault="001D4055" w:rsidP="00CD3584">
      <w:pPr>
        <w:bidi/>
        <w:spacing w:line="480" w:lineRule="auto"/>
        <w:jc w:val="both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C93FE6"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56192" behindDoc="0" locked="0" layoutInCell="1" allowOverlap="1" wp14:anchorId="4D4FEC33" wp14:editId="6AC28A19">
            <wp:simplePos x="0" y="0"/>
            <wp:positionH relativeFrom="margin">
              <wp:posOffset>377190</wp:posOffset>
            </wp:positionH>
            <wp:positionV relativeFrom="paragraph">
              <wp:posOffset>2750185</wp:posOffset>
            </wp:positionV>
            <wp:extent cx="5438775" cy="2552700"/>
            <wp:effectExtent l="0" t="0" r="9525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5C8B" w:rsidRPr="00C93FE6" w:rsidRDefault="00635EAE" w:rsidP="00E72E16">
      <w:pPr>
        <w:pStyle w:val="Heading1"/>
        <w:bidi/>
        <w:spacing w:line="360" w:lineRule="auto"/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</w:pPr>
      <w:r w:rsidRPr="00C93FE6">
        <w:rPr>
          <w:rFonts w:asciiTheme="minorHAnsi" w:eastAsia="Times New Roman" w:hAnsiTheme="minorHAnsi" w:cstheme="minorHAnsi"/>
          <w:color w:val="1F497D" w:themeColor="text2"/>
          <w:sz w:val="24"/>
          <w:szCs w:val="24"/>
          <w:rtl/>
        </w:rPr>
        <w:t>נפחי מסחר – לוחות ותרשימים</w:t>
      </w:r>
    </w:p>
    <w:p w:rsidR="00024BD1" w:rsidRPr="00C93FE6" w:rsidRDefault="00024BD1" w:rsidP="00024BD1">
      <w:pPr>
        <w:pStyle w:val="Heading2"/>
        <w:bidi/>
        <w:rPr>
          <w:rFonts w:asciiTheme="minorHAnsi" w:hAnsiTheme="minorHAnsi" w:cstheme="minorHAnsi"/>
          <w:sz w:val="24"/>
          <w:szCs w:val="24"/>
          <w:rtl/>
        </w:rPr>
      </w:pPr>
      <w:r w:rsidRPr="00C93FE6">
        <w:rPr>
          <w:rFonts w:asciiTheme="minorHAnsi" w:hAnsiTheme="minorHAnsi" w:cstheme="minorHAnsi"/>
          <w:sz w:val="24"/>
          <w:szCs w:val="24"/>
          <w:rtl/>
        </w:rPr>
        <w:t>נפח המסחר מול מערכת הבנקאות המקומית</w:t>
      </w:r>
      <w:r w:rsidRPr="00C93FE6">
        <w:rPr>
          <w:rFonts w:asciiTheme="minorHAnsi" w:hAnsiTheme="minorHAnsi" w:cstheme="minorHAnsi"/>
          <w:vertAlign w:val="superscript"/>
          <w:rtl/>
        </w:rPr>
        <w:footnoteReference w:id="3"/>
      </w:r>
    </w:p>
    <w:p w:rsidR="00024BD1" w:rsidRPr="00C93FE6" w:rsidRDefault="00024BD1" w:rsidP="00024BD1">
      <w:pPr>
        <w:bidi/>
        <w:rPr>
          <w:rFonts w:asciiTheme="minorHAnsi" w:hAnsiTheme="minorHAnsi" w:cstheme="minorHAnsi"/>
          <w:rtl/>
        </w:rPr>
      </w:pPr>
    </w:p>
    <w:p w:rsidR="00412AF2" w:rsidRPr="00C93FE6" w:rsidRDefault="00412AF2" w:rsidP="00975999">
      <w:pPr>
        <w:bidi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rtl/>
        </w:rPr>
      </w:pPr>
      <w:r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>נפח המסחר היומי הממוצע</w:t>
      </w:r>
      <w:r w:rsidRPr="00C93FE6">
        <w:rPr>
          <w:rFonts w:asciiTheme="minorHAnsi" w:hAnsiTheme="minorHAnsi" w:cstheme="minorHAnsi"/>
          <w:color w:val="000000" w:themeColor="text1"/>
          <w:rtl/>
        </w:rPr>
        <w:t xml:space="preserve"> </w:t>
      </w:r>
      <w:r w:rsidR="005E37F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עלה </w:t>
      </w:r>
      <w:r w:rsidR="003F43EE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במהלך הרביע </w:t>
      </w:r>
      <w:r w:rsidR="00E74E26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ב-</w:t>
      </w:r>
      <w:r w:rsidR="005E37F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0.6</w:t>
      </w:r>
      <w:r w:rsidR="006B615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%</w:t>
      </w:r>
      <w:r w:rsidR="00E74E26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3D7D42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לרמה של </w:t>
      </w:r>
      <w:r w:rsidR="00FB2CE3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5E37F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13.2</w:t>
      </w:r>
      <w:r w:rsidR="00FB2CE3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3D7D42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מיליארדי דולרים</w:t>
      </w:r>
      <w:r w:rsidR="00191526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, כאשר עיקר </w:t>
      </w:r>
      <w:r w:rsidR="00975999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העלייה</w:t>
      </w:r>
      <w:r w:rsidR="005E37F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191526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נובעת</w:t>
      </w:r>
      <w:r w:rsidR="00A8511A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975999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מגידול בנפח</w:t>
      </w:r>
      <w:r w:rsidR="00A8511A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המסחר היומי בעסקאות </w:t>
      </w:r>
      <w:r w:rsidR="00A2328D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החלף</w:t>
      </w:r>
      <w:r w:rsidR="00AA36EE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.</w:t>
      </w:r>
      <w:r w:rsidR="00191526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E72E16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 xml:space="preserve">חלקם היחסי של תושבי חוץ בנפח המסחר מול מערכת </w:t>
      </w:r>
      <w:r w:rsidR="00E72E16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lastRenderedPageBreak/>
        <w:t xml:space="preserve">הבנקאות המקומית </w:t>
      </w:r>
      <w:r w:rsidR="00E72E16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(עסקאות המרה, עסקאות באופציות ועסקאות החלף) ירד </w:t>
      </w:r>
      <w:proofErr w:type="spellStart"/>
      <w:r w:rsidR="00E72E16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בכ</w:t>
      </w:r>
      <w:proofErr w:type="spellEnd"/>
      <w:r w:rsidR="00E72E16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- 2.3% ועמד בסוף הרביע הרביעי על כ- 41.3%.</w:t>
      </w:r>
    </w:p>
    <w:p w:rsidR="00CE0BD3" w:rsidRPr="00C93FE6" w:rsidRDefault="00CE0BD3" w:rsidP="00996E2A">
      <w:pPr>
        <w:bidi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rtl/>
        </w:rPr>
      </w:pPr>
    </w:p>
    <w:tbl>
      <w:tblPr>
        <w:bidiVisual/>
        <w:tblW w:w="9666" w:type="dxa"/>
        <w:tblLook w:val="04A0" w:firstRow="1" w:lastRow="0" w:firstColumn="1" w:lastColumn="0" w:noHBand="0" w:noVBand="1"/>
      </w:tblPr>
      <w:tblGrid>
        <w:gridCol w:w="978"/>
        <w:gridCol w:w="2786"/>
        <w:gridCol w:w="995"/>
        <w:gridCol w:w="927"/>
        <w:gridCol w:w="1353"/>
        <w:gridCol w:w="1065"/>
        <w:gridCol w:w="1562"/>
      </w:tblGrid>
      <w:tr w:rsidR="00C84391" w:rsidRPr="00C93FE6" w:rsidTr="00380659">
        <w:trPr>
          <w:trHeight w:val="300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95B" w:rsidRPr="00C93FE6" w:rsidRDefault="0087595B" w:rsidP="003D770A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87595B" w:rsidRPr="00C93FE6" w:rsidRDefault="0087595B" w:rsidP="003D770A">
            <w:pPr>
              <w:bidi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94220E" w:rsidRPr="00C93FE6" w:rsidRDefault="0094220E" w:rsidP="0094220E">
            <w:pPr>
              <w:bidi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E72E16" w:rsidRPr="00C93FE6" w:rsidRDefault="00E72E16" w:rsidP="00E72E16">
            <w:pPr>
              <w:bidi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E72E16" w:rsidRPr="00C93FE6" w:rsidRDefault="008A0B63" w:rsidP="00E72E16">
            <w:pPr>
              <w:bidi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r w:rsidRPr="00C93FE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-3175</wp:posOffset>
                  </wp:positionV>
                  <wp:extent cx="5436870" cy="2867025"/>
                  <wp:effectExtent l="0" t="0" r="0" b="9525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870" cy="286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E72E16" w:rsidRPr="00C93FE6" w:rsidRDefault="00E72E16" w:rsidP="00E72E16">
            <w:pPr>
              <w:bidi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E72E16" w:rsidRPr="00C93FE6" w:rsidRDefault="00E72E16" w:rsidP="00E72E16">
            <w:pPr>
              <w:bidi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E72E16" w:rsidRPr="00C93FE6" w:rsidRDefault="00E72E16" w:rsidP="00E72E16">
            <w:pPr>
              <w:bidi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E72E16" w:rsidRPr="00C93FE6" w:rsidRDefault="00E72E16" w:rsidP="00E72E16">
            <w:pPr>
              <w:bidi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E72E16" w:rsidRPr="00C93FE6" w:rsidRDefault="00E72E16" w:rsidP="00E72E16">
            <w:pPr>
              <w:bidi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C84391" w:rsidRPr="00C93FE6" w:rsidRDefault="00C84391" w:rsidP="0094220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eastAsia="en-US"/>
              </w:rPr>
              <w:t>עסקאות במט"ח עם הבנקים המקומיים לפי מכשירים ומגזרים (במיליוני דולרים)</w:t>
            </w:r>
          </w:p>
          <w:tbl>
            <w:tblPr>
              <w:bidiVisual/>
              <w:tblW w:w="9440" w:type="dxa"/>
              <w:tblLook w:val="04A0" w:firstRow="1" w:lastRow="0" w:firstColumn="1" w:lastColumn="0" w:noHBand="0" w:noVBand="1"/>
            </w:tblPr>
            <w:tblGrid>
              <w:gridCol w:w="961"/>
              <w:gridCol w:w="3291"/>
              <w:gridCol w:w="895"/>
              <w:gridCol w:w="866"/>
              <w:gridCol w:w="1223"/>
              <w:gridCol w:w="901"/>
              <w:gridCol w:w="1303"/>
            </w:tblGrid>
            <w:tr w:rsidR="00853663" w:rsidRPr="00C93FE6" w:rsidTr="00AF52DF">
              <w:trPr>
                <w:trHeight w:val="795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3663" w:rsidRPr="00C93FE6" w:rsidRDefault="00853663" w:rsidP="00853663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3663" w:rsidRPr="00C93FE6" w:rsidRDefault="00853663" w:rsidP="0085366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C93FE6" w:rsidRDefault="00853663" w:rsidP="00853663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עסקאות המרה (1) 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C93FE6" w:rsidRDefault="00853663" w:rsidP="00853663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עסקאות החלף</w:t>
                  </w: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1</w:t>
                  </w: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</w:t>
                  </w:r>
                  <w:proofErr w:type="spellStart"/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סוופ</w:t>
                  </w:r>
                  <w:proofErr w:type="spellEnd"/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) (2)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C93FE6" w:rsidRDefault="00853663" w:rsidP="00853663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עסקאות החלף </w:t>
                  </w: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2</w:t>
                  </w: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  <w:t>Cross Currency Swap</w:t>
                  </w: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(3)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C93FE6" w:rsidRDefault="00853663" w:rsidP="00853663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עסקאות באופציות</w:t>
                  </w: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3</w:t>
                  </w: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(4)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C93FE6" w:rsidRDefault="00853663" w:rsidP="00853663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נפח המסחר הכולל (1)+(2)+(3)+(4)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5E37F8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רביע </w:t>
                  </w:r>
                  <w:r w:rsidR="005E37F8"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רביעי </w:t>
                  </w: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2024  (נתון ארעי)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סה"כ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195,028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558,946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1,180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23,124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778,277 </w:t>
                  </w:r>
                </w:p>
              </w:tc>
            </w:tr>
            <w:tr w:rsidR="005E37F8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7F8" w:rsidRPr="00C93FE6" w:rsidRDefault="005E37F8" w:rsidP="005E37F8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37F8" w:rsidRPr="00C93FE6" w:rsidRDefault="005E37F8" w:rsidP="005E37F8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סה"כ (ממוצע יומי לפי 59 ימי מסחר)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37F8" w:rsidRPr="00C93FE6" w:rsidRDefault="005E37F8" w:rsidP="005E37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3,306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37F8" w:rsidRPr="00C93FE6" w:rsidRDefault="005E37F8" w:rsidP="005E37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9,474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37F8" w:rsidRPr="00C93FE6" w:rsidRDefault="005E37F8" w:rsidP="005E37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37F8" w:rsidRPr="00C93FE6" w:rsidRDefault="005E37F8" w:rsidP="005E37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bookmarkStart w:id="1" w:name="RANGE!F7"/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392 </w:t>
                  </w:r>
                  <w:bookmarkEnd w:id="1"/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37F8" w:rsidRPr="00C93FE6" w:rsidRDefault="005E37F8" w:rsidP="005E37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13,191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תושבי חוץ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59,655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253,262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517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7,608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321,042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מזה: מוסדות פיננסיים זרים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59,009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253,262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517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7,608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320,395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תושבי ישראל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135,373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305,684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663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15,516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457,235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מזה: סקטור ריאלי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42,439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22,636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145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7,228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72,448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סקטור פיננסי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42,390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151,082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341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1,024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194,837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מוסדיים (כולל חברות ביטוח)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27,092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98,810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4,958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130,860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יחידים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5,238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615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134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5,987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אחרים</w:t>
                  </w: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646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647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בנקים מקומיים</w:t>
                  </w: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10,393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20,160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1,743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32,296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5E37F8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רביע </w:t>
                  </w:r>
                  <w:r w:rsidR="005E37F8"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שלישי </w:t>
                  </w: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2024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סה"כ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bookmarkStart w:id="2" w:name="RANGE!C17"/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210,301 </w:t>
                  </w:r>
                  <w:bookmarkEnd w:id="2"/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557,502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2,666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29,180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799,650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סה"כ (ממוצע יומי לפי 61 ימי מסחר)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bookmarkStart w:id="3" w:name="RANGE!C18"/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3,448 </w:t>
                  </w:r>
                  <w:bookmarkEnd w:id="3"/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9,139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44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478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13,109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תושבי חוץ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70,248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266,837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736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10,496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348,317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מזה: מוסדות פיננסיים זרים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69,577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266,837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736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10,496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347,645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תושבי ישראל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140,053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290,665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1,930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18,684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451,333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מזה: סקטור ריאלי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42,382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20,162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319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7,162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70,026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סקטור פיננסי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43,638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127,361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438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1,020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172,458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מוסדיים (כולל חברות ביטוח)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29,388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115,194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453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6,958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151,993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יחידים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5,692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577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175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6,444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אחרים</w:t>
                  </w: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671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671 </w:t>
                  </w:r>
                </w:p>
              </w:tc>
            </w:tr>
            <w:tr w:rsidR="009A6BF9" w:rsidRPr="00C93FE6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bidi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 xml:space="preserve">         בנקים מקומיים</w:t>
                  </w:r>
                  <w:r w:rsidRPr="00C93FE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10,432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17,098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349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2,761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C93FE6" w:rsidRDefault="009A6BF9" w:rsidP="009A6BF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93F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30,639 </w:t>
                  </w:r>
                </w:p>
              </w:tc>
            </w:tr>
          </w:tbl>
          <w:p w:rsidR="00853663" w:rsidRPr="00C93FE6" w:rsidRDefault="00853663" w:rsidP="00853663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84391" w:rsidRPr="00C93FE6" w:rsidTr="00853663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4391" w:rsidRPr="00C93FE6" w:rsidTr="00853663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4391" w:rsidRPr="00C93FE6" w:rsidRDefault="00C84391" w:rsidP="00C8439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C93FE6" w:rsidRDefault="00C84391" w:rsidP="00C84391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C93FE6" w:rsidRDefault="00C84391" w:rsidP="00C84391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C93FE6" w:rsidRDefault="00C84391" w:rsidP="00C84391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C93FE6" w:rsidRDefault="00C84391" w:rsidP="00C84391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C93FE6" w:rsidRDefault="00C84391" w:rsidP="00C84391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C93FE6" w:rsidRDefault="00C84391" w:rsidP="00C84391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4391" w:rsidRPr="00C93FE6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12"/>
                <w:szCs w:val="12"/>
                <w:vertAlign w:val="superscript"/>
                <w:rtl/>
                <w:lang w:eastAsia="en-US"/>
              </w:rPr>
              <w:t>1</w:t>
            </w:r>
            <w:r w:rsidRPr="00C93FE6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 xml:space="preserve"> רגל אחת בלבד של עסקת החלף, כלומר הערך הנומינאלי של העסקה (בהתאם להגדרות ה- </w:t>
            </w:r>
            <w:r w:rsidRPr="00C93FE6">
              <w:rPr>
                <w:rFonts w:asciiTheme="minorHAnsi" w:hAnsiTheme="minorHAnsi" w:cstheme="minorHAnsi"/>
                <w:sz w:val="12"/>
                <w:szCs w:val="12"/>
                <w:lang w:eastAsia="en-US"/>
              </w:rPr>
              <w:t>BIS</w:t>
            </w:r>
            <w:r w:rsidRPr="00C93FE6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>).</w:t>
            </w:r>
          </w:p>
        </w:tc>
      </w:tr>
      <w:tr w:rsidR="00C84391" w:rsidRPr="00C93FE6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12"/>
                <w:szCs w:val="12"/>
                <w:vertAlign w:val="superscript"/>
                <w:rtl/>
                <w:lang w:eastAsia="en-US"/>
              </w:rPr>
              <w:t>2</w:t>
            </w:r>
            <w:r w:rsidRPr="00C93FE6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 xml:space="preserve">הקרנות המוחלפות בעסקות </w:t>
            </w:r>
            <w:r w:rsidRPr="00C93FE6">
              <w:rPr>
                <w:rFonts w:asciiTheme="minorHAnsi" w:hAnsiTheme="minorHAnsi" w:cstheme="minorHAnsi"/>
                <w:sz w:val="12"/>
                <w:szCs w:val="12"/>
                <w:lang w:eastAsia="en-US"/>
              </w:rPr>
              <w:t>Cross Currency Swap</w:t>
            </w:r>
            <w:r w:rsidRPr="00C93FE6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 xml:space="preserve"> יחושבו לצורך הנפח כרגל אחת בלבד, במקרים בהם הרגליים מקזזות זו את זו.</w:t>
            </w:r>
          </w:p>
        </w:tc>
      </w:tr>
      <w:tr w:rsidR="00C84391" w:rsidRPr="00C93FE6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lang w:eastAsia="en-US"/>
              </w:rPr>
            </w:pPr>
            <w:bookmarkStart w:id="4" w:name="RANGE!B31"/>
            <w:r w:rsidRPr="00C93FE6">
              <w:rPr>
                <w:rFonts w:asciiTheme="minorHAnsi" w:hAnsiTheme="minorHAnsi" w:cstheme="minorHAnsi"/>
                <w:sz w:val="12"/>
                <w:szCs w:val="12"/>
                <w:vertAlign w:val="superscript"/>
                <w:rtl/>
                <w:lang w:eastAsia="en-US"/>
              </w:rPr>
              <w:t>3</w:t>
            </w:r>
            <w:r w:rsidRPr="00C93FE6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 xml:space="preserve"> ה- </w:t>
            </w:r>
            <w:r w:rsidRPr="00C93FE6">
              <w:rPr>
                <w:rFonts w:asciiTheme="minorHAnsi" w:hAnsiTheme="minorHAnsi" w:cstheme="minorHAnsi"/>
                <w:sz w:val="12"/>
                <w:szCs w:val="12"/>
                <w:lang w:eastAsia="en-US"/>
              </w:rPr>
              <w:t>National value</w:t>
            </w:r>
            <w:r w:rsidRPr="00C93FE6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 xml:space="preserve"> הכולל של עסקות קנייה ומכירה של </w:t>
            </w:r>
            <w:r w:rsidRPr="00C93FE6">
              <w:rPr>
                <w:rFonts w:asciiTheme="minorHAnsi" w:hAnsiTheme="minorHAnsi" w:cstheme="minorHAnsi"/>
                <w:sz w:val="12"/>
                <w:szCs w:val="12"/>
                <w:lang w:eastAsia="en-US"/>
              </w:rPr>
              <w:t>Call</w:t>
            </w:r>
            <w:r w:rsidRPr="00C93FE6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 xml:space="preserve"> ו- </w:t>
            </w:r>
            <w:r w:rsidRPr="00C93FE6">
              <w:rPr>
                <w:rFonts w:asciiTheme="minorHAnsi" w:hAnsiTheme="minorHAnsi" w:cstheme="minorHAnsi"/>
                <w:sz w:val="12"/>
                <w:szCs w:val="12"/>
                <w:lang w:eastAsia="en-US"/>
              </w:rPr>
              <w:t>Put</w:t>
            </w:r>
            <w:r w:rsidRPr="00C93FE6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>.</w:t>
            </w:r>
            <w:bookmarkEnd w:id="4"/>
          </w:p>
        </w:tc>
      </w:tr>
      <w:tr w:rsidR="00C84391" w:rsidRPr="00C93FE6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lang w:eastAsia="en-US"/>
              </w:rPr>
            </w:pPr>
            <w:bookmarkStart w:id="5" w:name="RANGE!B32"/>
            <w:r w:rsidRPr="00C93FE6">
              <w:rPr>
                <w:rFonts w:asciiTheme="minorHAnsi" w:hAnsiTheme="minorHAnsi" w:cstheme="minorHAnsi"/>
                <w:sz w:val="12"/>
                <w:szCs w:val="12"/>
                <w:vertAlign w:val="superscript"/>
                <w:rtl/>
                <w:lang w:eastAsia="en-US"/>
              </w:rPr>
              <w:t xml:space="preserve">4 </w:t>
            </w:r>
            <w:r w:rsidRPr="00C93FE6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>כולל גופים כמו מנהלי תיקים, מלכ"רים, מוסדות לאומיים וכאלו שלא נכללים ביתר הסעיפים.</w:t>
            </w:r>
            <w:bookmarkEnd w:id="5"/>
          </w:p>
        </w:tc>
      </w:tr>
      <w:tr w:rsidR="00C84391" w:rsidRPr="00C93FE6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93FE6" w:rsidRDefault="00C84391" w:rsidP="00C84391">
            <w:pPr>
              <w:bidi/>
              <w:rPr>
                <w:rFonts w:asciiTheme="minorHAnsi" w:hAnsiTheme="minorHAnsi" w:cstheme="minorHAnsi"/>
                <w:sz w:val="12"/>
                <w:szCs w:val="12"/>
                <w:lang w:eastAsia="en-US"/>
              </w:rPr>
            </w:pPr>
            <w:bookmarkStart w:id="6" w:name="RANGE!B33"/>
            <w:r w:rsidRPr="00C93FE6">
              <w:rPr>
                <w:rFonts w:asciiTheme="minorHAnsi" w:hAnsiTheme="minorHAnsi" w:cstheme="minorHAnsi"/>
                <w:b/>
                <w:bCs/>
                <w:sz w:val="12"/>
                <w:szCs w:val="12"/>
                <w:vertAlign w:val="superscript"/>
                <w:rtl/>
                <w:lang w:eastAsia="en-US"/>
              </w:rPr>
              <w:t>5</w:t>
            </w:r>
            <w:r w:rsidRPr="00C93FE6">
              <w:rPr>
                <w:rFonts w:asciiTheme="minorHAnsi" w:hAnsiTheme="minorHAnsi" w:cstheme="minorHAnsi"/>
                <w:sz w:val="12"/>
                <w:szCs w:val="12"/>
                <w:rtl/>
                <w:lang w:eastAsia="en-US"/>
              </w:rPr>
              <w:t xml:space="preserve"> סך המסחר הבין בנקאי מחולק בשניים.</w:t>
            </w:r>
            <w:bookmarkEnd w:id="6"/>
          </w:p>
        </w:tc>
      </w:tr>
    </w:tbl>
    <w:p w:rsidR="00975999" w:rsidRPr="00C93FE6" w:rsidRDefault="00975999" w:rsidP="007306CA">
      <w:pPr>
        <w:pStyle w:val="Heading2"/>
        <w:bidi/>
        <w:rPr>
          <w:rFonts w:asciiTheme="minorHAnsi" w:hAnsiTheme="minorHAnsi" w:cstheme="minorHAnsi"/>
          <w:sz w:val="24"/>
          <w:szCs w:val="24"/>
          <w:rtl/>
        </w:rPr>
      </w:pPr>
    </w:p>
    <w:p w:rsidR="008A0B63" w:rsidRPr="00C93FE6" w:rsidRDefault="008A0B63" w:rsidP="00B92C5B">
      <w:pPr>
        <w:pStyle w:val="Heading2"/>
        <w:bidi/>
        <w:rPr>
          <w:rFonts w:asciiTheme="minorHAnsi" w:hAnsiTheme="minorHAnsi" w:cstheme="minorHAnsi"/>
          <w:sz w:val="24"/>
          <w:szCs w:val="24"/>
          <w:rtl/>
        </w:rPr>
      </w:pPr>
    </w:p>
    <w:p w:rsidR="007306CA" w:rsidRPr="00C93FE6" w:rsidRDefault="007306CA" w:rsidP="008A0B63">
      <w:pPr>
        <w:pStyle w:val="Heading2"/>
        <w:bidi/>
        <w:rPr>
          <w:rFonts w:asciiTheme="minorHAnsi" w:hAnsiTheme="minorHAnsi" w:cstheme="minorHAnsi"/>
          <w:sz w:val="24"/>
          <w:szCs w:val="24"/>
          <w:rtl/>
        </w:rPr>
      </w:pPr>
      <w:r w:rsidRPr="00C93FE6">
        <w:rPr>
          <w:rFonts w:asciiTheme="minorHAnsi" w:hAnsiTheme="minorHAnsi" w:cstheme="minorHAnsi"/>
          <w:sz w:val="24"/>
          <w:szCs w:val="24"/>
          <w:rtl/>
        </w:rPr>
        <w:t>אומדן של נפח המסחר הכולל</w:t>
      </w:r>
      <w:r w:rsidRPr="00C93FE6">
        <w:rPr>
          <w:rStyle w:val="FootnoteReference"/>
          <w:rFonts w:asciiTheme="minorHAnsi" w:hAnsiTheme="minorHAnsi" w:cstheme="minorHAnsi"/>
          <w:sz w:val="24"/>
          <w:szCs w:val="24"/>
          <w:rtl/>
        </w:rPr>
        <w:footnoteReference w:id="4"/>
      </w:r>
      <w:r w:rsidRPr="00C93FE6">
        <w:rPr>
          <w:rFonts w:asciiTheme="minorHAnsi" w:hAnsiTheme="minorHAnsi" w:cstheme="minorHAnsi"/>
          <w:sz w:val="24"/>
          <w:szCs w:val="24"/>
          <w:rtl/>
        </w:rPr>
        <w:t xml:space="preserve"> - מערכת הבנקאות המקומית ומדווחים זרים</w:t>
      </w:r>
    </w:p>
    <w:p w:rsidR="007306CA" w:rsidRPr="00C93FE6" w:rsidRDefault="007306CA" w:rsidP="007306CA">
      <w:p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</w:p>
    <w:p w:rsidR="00AC78F7" w:rsidRPr="00C93FE6" w:rsidRDefault="007306CA" w:rsidP="005E37F8">
      <w:pPr>
        <w:bidi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rtl/>
        </w:rPr>
      </w:pPr>
      <w:r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מאמידת הפעילות הכוללת בעסקאות מול השקל המשתקפת בדיווחי מערכת הבנקאות המקומית ומדווחים זרים עולה כי חלקם היחסי של תושבי חוץ בנפח המסחר בעסקאות המרה  (ללא עסקאות החלף ואופציות) עמד ברביע </w:t>
      </w:r>
      <w:r w:rsidR="00A36F7D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הרביעי </w:t>
      </w:r>
      <w:r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על </w:t>
      </w:r>
      <w:r w:rsidR="007656B5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כ- </w:t>
      </w:r>
      <w:r w:rsidR="005E37F8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84</w:t>
      </w:r>
      <w:r w:rsidR="007656B5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%</w:t>
      </w:r>
      <w:r w:rsidR="00AE755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,</w:t>
      </w:r>
      <w:r w:rsidR="00AE755B" w:rsidRPr="00C93F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 xml:space="preserve"> </w:t>
      </w:r>
      <w:r w:rsidR="00AE755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כאשר המסחר בין זרים מהווה </w:t>
      </w:r>
      <w:r w:rsidR="007656B5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כ-</w:t>
      </w:r>
      <w:r w:rsidR="00A36F7D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74</w:t>
      </w:r>
      <w:r w:rsidR="007656B5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%</w:t>
      </w:r>
      <w:r w:rsidR="00AE755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מהנפח</w:t>
      </w:r>
      <w:r w:rsidR="00162F2C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, שעמד על ממוצע יומי של </w:t>
      </w:r>
      <w:r w:rsidR="009412F2" w:rsidRPr="00C93F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30C46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כ-</w:t>
      </w:r>
      <w:r w:rsidR="00A36F7D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13 </w:t>
      </w:r>
      <w:r w:rsidR="006657A5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מיליארדי דולרים</w:t>
      </w:r>
      <w:r w:rsidR="00AE755B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.</w:t>
      </w:r>
      <w:r w:rsidR="00AC78F7" w:rsidRPr="00C93FE6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</w:p>
    <w:p w:rsidR="00AE755B" w:rsidRPr="00C93FE6" w:rsidRDefault="00AE755B" w:rsidP="00AE755B">
      <w:pPr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</w:p>
    <w:tbl>
      <w:tblPr>
        <w:bidiVisual/>
        <w:tblW w:w="10160" w:type="dxa"/>
        <w:tblLook w:val="04A0" w:firstRow="1" w:lastRow="0" w:firstColumn="1" w:lastColumn="0" w:noHBand="0" w:noVBand="1"/>
      </w:tblPr>
      <w:tblGrid>
        <w:gridCol w:w="3428"/>
        <w:gridCol w:w="996"/>
        <w:gridCol w:w="995"/>
        <w:gridCol w:w="997"/>
        <w:gridCol w:w="1038"/>
        <w:gridCol w:w="1412"/>
        <w:gridCol w:w="1294"/>
      </w:tblGrid>
      <w:tr w:rsidR="00A36F7D" w:rsidRPr="00C93FE6" w:rsidTr="00C246E7">
        <w:trPr>
          <w:trHeight w:val="315"/>
        </w:trPr>
        <w:tc>
          <w:tcPr>
            <w:tcW w:w="34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5B9BD5"/>
            <w:vAlign w:val="center"/>
            <w:hideMark/>
          </w:tcPr>
          <w:p w:rsidR="003A2C16" w:rsidRPr="00C93FE6" w:rsidRDefault="003A2C16" w:rsidP="003A2C16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C93FE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3A2C16" w:rsidRPr="00C93FE6" w:rsidRDefault="003A2C16" w:rsidP="003A2C16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  <w:t> </w:t>
            </w:r>
          </w:p>
        </w:tc>
        <w:tc>
          <w:tcPr>
            <w:tcW w:w="30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5B9BD5"/>
            <w:vAlign w:val="center"/>
            <w:hideMark/>
          </w:tcPr>
          <w:p w:rsidR="003A2C16" w:rsidRPr="00C93FE6" w:rsidRDefault="003A2C16" w:rsidP="003A2C16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bookmarkStart w:id="7" w:name="RANGE!C1"/>
            <w:r w:rsidRPr="00C93FE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  <w:t>החלק היחסי בנפח המסחר הכולל</w:t>
            </w:r>
            <w:bookmarkEnd w:id="7"/>
          </w:p>
        </w:tc>
        <w:tc>
          <w:tcPr>
            <w:tcW w:w="141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5B9BD5"/>
            <w:vAlign w:val="center"/>
            <w:hideMark/>
          </w:tcPr>
          <w:p w:rsidR="003A2C16" w:rsidRPr="00C93FE6" w:rsidRDefault="003A2C16" w:rsidP="003A2C16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  <w:t>סך הנפח (במיליוני $)</w:t>
            </w:r>
          </w:p>
        </w:tc>
        <w:tc>
          <w:tcPr>
            <w:tcW w:w="129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3A2C16" w:rsidRPr="00C93FE6" w:rsidRDefault="003A2C16" w:rsidP="003A2C16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  <w:t>ממוצע יומי (במיליוני $)</w:t>
            </w:r>
          </w:p>
        </w:tc>
      </w:tr>
      <w:tr w:rsidR="00A36F7D" w:rsidRPr="00C93FE6" w:rsidTr="00C246E7">
        <w:trPr>
          <w:trHeight w:val="1515"/>
        </w:trPr>
        <w:tc>
          <w:tcPr>
            <w:tcW w:w="342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5B9BD5"/>
            <w:vAlign w:val="center"/>
            <w:hideMark/>
          </w:tcPr>
          <w:p w:rsidR="003A2C16" w:rsidRPr="00C93FE6" w:rsidRDefault="003A2C16" w:rsidP="003A2C16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3A2C16" w:rsidRPr="00C93FE6" w:rsidRDefault="003A2C16" w:rsidP="003A2C16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3A2C16" w:rsidRPr="00C93FE6" w:rsidRDefault="003A2C16" w:rsidP="003A2C16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  <w:t>מסחר בין זרים</w:t>
            </w:r>
          </w:p>
        </w:tc>
        <w:tc>
          <w:tcPr>
            <w:tcW w:w="997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3A2C16" w:rsidRPr="00C93FE6" w:rsidRDefault="008A4D31" w:rsidP="00A36F7D">
            <w:pPr>
              <w:bidi/>
              <w:jc w:val="center"/>
              <w:rPr>
                <w:rFonts w:asciiTheme="minorHAnsi" w:hAnsiTheme="minorHAnsi" w:cstheme="minorHAnsi"/>
                <w:color w:val="0000FF"/>
                <w:u w:val="single"/>
                <w:rtl/>
                <w:lang w:eastAsia="en-US"/>
              </w:rPr>
            </w:pPr>
            <w:hyperlink r:id="rId17" w:anchor="RANGE!_ftn1" w:history="1">
              <w:r w:rsidR="00A36F7D" w:rsidRPr="00C93FE6">
                <w:rPr>
                  <w:rFonts w:asciiTheme="minorHAnsi" w:hAnsiTheme="minorHAnsi" w:cstheme="minorHAnsi"/>
                  <w:b/>
                  <w:bCs/>
                  <w:color w:val="FFFFFF"/>
                  <w:sz w:val="22"/>
                  <w:szCs w:val="22"/>
                  <w:rtl/>
                  <w:lang w:eastAsia="en-US"/>
                </w:rPr>
                <w:t>מסחר בין זר למקומי</w:t>
              </w:r>
            </w:hyperlink>
          </w:p>
        </w:tc>
        <w:tc>
          <w:tcPr>
            <w:tcW w:w="1038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3A2C16" w:rsidRPr="00C93FE6" w:rsidRDefault="003A2C16" w:rsidP="003A2C16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rtl/>
                <w:lang w:eastAsia="en-US"/>
              </w:rPr>
              <w:t>מסחר בין מערכת הבנקאות המקומית למקומיים</w:t>
            </w:r>
          </w:p>
        </w:tc>
        <w:tc>
          <w:tcPr>
            <w:tcW w:w="14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3A2C16" w:rsidRPr="00C93FE6" w:rsidRDefault="003A2C16" w:rsidP="003A2C16">
            <w:pPr>
              <w:bidi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3A2C16" w:rsidRPr="00C93FE6" w:rsidRDefault="003A2C16" w:rsidP="003A2C16">
            <w:pPr>
              <w:bidi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</w:p>
        </w:tc>
      </w:tr>
      <w:tr w:rsidR="00C246E7" w:rsidRPr="00C93FE6" w:rsidTr="00C246E7">
        <w:trPr>
          <w:trHeight w:val="1215"/>
        </w:trPr>
        <w:tc>
          <w:tcPr>
            <w:tcW w:w="3428" w:type="dxa"/>
            <w:vMerge w:val="restart"/>
            <w:tcBorders>
              <w:top w:val="nil"/>
              <w:left w:val="single" w:sz="8" w:space="0" w:color="9CC2E5"/>
              <w:bottom w:val="single" w:sz="12" w:space="0" w:color="000000"/>
              <w:right w:val="single" w:sz="8" w:space="0" w:color="9CC2E5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18"/>
                <w:szCs w:val="18"/>
                <w:rtl/>
              </w:rPr>
              <w:t>רביע רביעי 2024</w:t>
            </w:r>
          </w:p>
        </w:tc>
        <w:tc>
          <w:tcPr>
            <w:tcW w:w="996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>נפח המסחר בעסקאות המרה</w:t>
            </w:r>
          </w:p>
        </w:tc>
        <w:tc>
          <w:tcPr>
            <w:tcW w:w="995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>74.1%</w:t>
            </w:r>
          </w:p>
        </w:tc>
        <w:tc>
          <w:tcPr>
            <w:tcW w:w="997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>9.3%</w:t>
            </w:r>
          </w:p>
        </w:tc>
        <w:tc>
          <w:tcPr>
            <w:tcW w:w="1038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>16.6%</w:t>
            </w:r>
          </w:p>
        </w:tc>
        <w:tc>
          <w:tcPr>
            <w:tcW w:w="1412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       793,206 </w:t>
            </w:r>
          </w:p>
        </w:tc>
        <w:tc>
          <w:tcPr>
            <w:tcW w:w="1294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       13,003 </w:t>
            </w:r>
          </w:p>
        </w:tc>
      </w:tr>
      <w:tr w:rsidR="00C246E7" w:rsidRPr="00C93FE6" w:rsidTr="00C246E7">
        <w:trPr>
          <w:trHeight w:val="1515"/>
        </w:trPr>
        <w:tc>
          <w:tcPr>
            <w:tcW w:w="3428" w:type="dxa"/>
            <w:vMerge/>
            <w:tcBorders>
              <w:top w:val="nil"/>
              <w:left w:val="single" w:sz="8" w:space="0" w:color="9CC2E5"/>
              <w:bottom w:val="single" w:sz="12" w:space="0" w:color="000000"/>
              <w:right w:val="single" w:sz="8" w:space="0" w:color="9CC2E5"/>
            </w:tcBorders>
            <w:vAlign w:val="center"/>
            <w:hideMark/>
          </w:tcPr>
          <w:p w:rsidR="00C246E7" w:rsidRPr="00C93FE6" w:rsidRDefault="00C246E7" w:rsidP="00C246E7">
            <w:pPr>
              <w:bidi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>נפח המסחר בעסקאות החלף ואופציות</w:t>
            </w:r>
          </w:p>
        </w:tc>
        <w:tc>
          <w:tcPr>
            <w:tcW w:w="995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>49.0%</w:t>
            </w:r>
          </w:p>
        </w:tc>
        <w:tc>
          <w:tcPr>
            <w:tcW w:w="997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>24.8%</w:t>
            </w:r>
          </w:p>
        </w:tc>
        <w:tc>
          <w:tcPr>
            <w:tcW w:w="1038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>26.1%</w:t>
            </w:r>
          </w:p>
        </w:tc>
        <w:tc>
          <w:tcPr>
            <w:tcW w:w="1412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   1,211,096 </w:t>
            </w:r>
          </w:p>
        </w:tc>
        <w:tc>
          <w:tcPr>
            <w:tcW w:w="1294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       19,854 </w:t>
            </w:r>
          </w:p>
        </w:tc>
      </w:tr>
      <w:tr w:rsidR="00C246E7" w:rsidRPr="00C93FE6" w:rsidTr="00C246E7">
        <w:trPr>
          <w:trHeight w:val="1230"/>
        </w:trPr>
        <w:tc>
          <w:tcPr>
            <w:tcW w:w="3428" w:type="dxa"/>
            <w:vMerge w:val="restart"/>
            <w:tcBorders>
              <w:top w:val="nil"/>
              <w:left w:val="single" w:sz="8" w:space="0" w:color="9CC2E5"/>
              <w:bottom w:val="nil"/>
              <w:right w:val="single" w:sz="8" w:space="0" w:color="9CC2E5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רביע שלישי  2024  </w:t>
            </w:r>
          </w:p>
        </w:tc>
        <w:tc>
          <w:tcPr>
            <w:tcW w:w="996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>נפח המסחר בעסקאות המרה</w:t>
            </w:r>
          </w:p>
        </w:tc>
        <w:tc>
          <w:tcPr>
            <w:tcW w:w="995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>73.9%</w:t>
            </w:r>
          </w:p>
        </w:tc>
        <w:tc>
          <w:tcPr>
            <w:tcW w:w="997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>10.0%</w:t>
            </w:r>
          </w:p>
        </w:tc>
        <w:tc>
          <w:tcPr>
            <w:tcW w:w="1038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>16.2%</w:t>
            </w:r>
          </w:p>
        </w:tc>
        <w:tc>
          <w:tcPr>
            <w:tcW w:w="1412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       844,378 </w:t>
            </w:r>
          </w:p>
        </w:tc>
        <w:tc>
          <w:tcPr>
            <w:tcW w:w="1294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       14,311 </w:t>
            </w:r>
          </w:p>
        </w:tc>
      </w:tr>
      <w:tr w:rsidR="00C246E7" w:rsidRPr="00C93FE6" w:rsidTr="00C246E7">
        <w:trPr>
          <w:trHeight w:val="1500"/>
        </w:trPr>
        <w:tc>
          <w:tcPr>
            <w:tcW w:w="3428" w:type="dxa"/>
            <w:vMerge/>
            <w:tcBorders>
              <w:top w:val="nil"/>
              <w:left w:val="single" w:sz="8" w:space="0" w:color="9CC2E5"/>
              <w:bottom w:val="nil"/>
              <w:right w:val="single" w:sz="8" w:space="0" w:color="9CC2E5"/>
            </w:tcBorders>
            <w:vAlign w:val="center"/>
            <w:hideMark/>
          </w:tcPr>
          <w:p w:rsidR="00C246E7" w:rsidRPr="00C93FE6" w:rsidRDefault="00C246E7" w:rsidP="00C246E7">
            <w:pPr>
              <w:bidi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>נפח המסחר בעסקאות החלף ואופציות</w:t>
            </w:r>
          </w:p>
        </w:tc>
        <w:tc>
          <w:tcPr>
            <w:tcW w:w="995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>49.2%</w:t>
            </w:r>
          </w:p>
        </w:tc>
        <w:tc>
          <w:tcPr>
            <w:tcW w:w="997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>26.4%</w:t>
            </w:r>
          </w:p>
        </w:tc>
        <w:tc>
          <w:tcPr>
            <w:tcW w:w="1038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>24.5%</w:t>
            </w:r>
          </w:p>
        </w:tc>
        <w:tc>
          <w:tcPr>
            <w:tcW w:w="1412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   1,253,728 </w:t>
            </w:r>
          </w:p>
        </w:tc>
        <w:tc>
          <w:tcPr>
            <w:tcW w:w="1294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C246E7" w:rsidRPr="00C93FE6" w:rsidRDefault="00C246E7" w:rsidP="00C246E7">
            <w:pPr>
              <w:bidi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en-US"/>
              </w:rPr>
            </w:pPr>
            <w:r w:rsidRPr="00C93FE6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           21,250 </w:t>
            </w:r>
          </w:p>
        </w:tc>
      </w:tr>
    </w:tbl>
    <w:p w:rsidR="00AE755B" w:rsidRPr="00C93FE6" w:rsidRDefault="00AE755B" w:rsidP="009E2D60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AE755B" w:rsidRPr="00C93FE6" w:rsidSect="004E549D">
      <w:type w:val="continuous"/>
      <w:pgSz w:w="11906" w:h="16838"/>
      <w:pgMar w:top="624" w:right="107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E6" w:rsidRDefault="003A37E6" w:rsidP="00C04A6B">
      <w:r>
        <w:separator/>
      </w:r>
    </w:p>
  </w:endnote>
  <w:endnote w:type="continuationSeparator" w:id="0">
    <w:p w:rsidR="003A37E6" w:rsidRDefault="003A37E6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2168C6" w:rsidRDefault="006E1923" w:rsidP="004F7549">
            <w:pPr>
              <w:pStyle w:val="Footer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lang w:val="he-IL"/>
              </w:rPr>
              <w:t>בנק ישראל - המסחר בשוק מטבע החוץ ב</w:t>
            </w:r>
            <w:r w:rsidR="001B6F9F" w:rsidRPr="002168C6">
              <w:rPr>
                <w:rFonts w:cs="David" w:hint="cs"/>
                <w:rtl/>
                <w:lang w:val="he-IL"/>
              </w:rPr>
              <w:t xml:space="preserve">רביע </w:t>
            </w:r>
            <w:r w:rsidR="00E16E05">
              <w:rPr>
                <w:rFonts w:cs="David" w:hint="cs"/>
                <w:rtl/>
                <w:lang w:val="he-IL"/>
              </w:rPr>
              <w:t>ה</w:t>
            </w:r>
            <w:r w:rsidR="004F7549">
              <w:rPr>
                <w:rFonts w:cs="David" w:hint="cs"/>
                <w:rtl/>
                <w:lang w:val="he-IL"/>
              </w:rPr>
              <w:t>רביע</w:t>
            </w:r>
            <w:r w:rsidR="00005843">
              <w:rPr>
                <w:rFonts w:cs="David" w:hint="cs"/>
                <w:rtl/>
                <w:lang w:val="he-IL"/>
              </w:rPr>
              <w:t>י</w:t>
            </w:r>
            <w:r w:rsidR="007A1EC6">
              <w:rPr>
                <w:rFonts w:cs="David" w:hint="cs"/>
                <w:rtl/>
                <w:lang w:val="he-IL"/>
              </w:rPr>
              <w:t xml:space="preserve"> </w:t>
            </w:r>
            <w:r w:rsidR="002168C6">
              <w:rPr>
                <w:rFonts w:cs="David" w:hint="cs"/>
                <w:rtl/>
                <w:lang w:val="he-IL"/>
              </w:rPr>
              <w:t>של שנת</w:t>
            </w:r>
            <w:r w:rsidRPr="002168C6">
              <w:rPr>
                <w:rFonts w:cs="David" w:hint="cs"/>
                <w:rtl/>
                <w:lang w:val="he-IL"/>
              </w:rPr>
              <w:t xml:space="preserve"> </w:t>
            </w:r>
            <w:r w:rsidR="007A1EC6">
              <w:rPr>
                <w:rFonts w:cs="David" w:hint="cs"/>
                <w:rtl/>
                <w:lang w:val="he-IL"/>
              </w:rPr>
              <w:t>202</w:t>
            </w:r>
            <w:r w:rsidR="00875863">
              <w:rPr>
                <w:rFonts w:cs="David" w:hint="cs"/>
                <w:rtl/>
                <w:lang w:val="he-IL"/>
              </w:rPr>
              <w:t>4</w:t>
            </w: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8A4D31">
              <w:rPr>
                <w:rFonts w:cs="David"/>
                <w:b/>
                <w:bCs/>
                <w:noProof/>
                <w:rtl/>
              </w:rPr>
              <w:t>5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8A4D31">
              <w:rPr>
                <w:rFonts w:cs="David"/>
                <w:b/>
                <w:bCs/>
                <w:noProof/>
                <w:rtl/>
              </w:rPr>
              <w:t>5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E6" w:rsidRDefault="003A37E6" w:rsidP="00C04A6B">
      <w:r>
        <w:separator/>
      </w:r>
    </w:p>
  </w:footnote>
  <w:footnote w:type="continuationSeparator" w:id="0">
    <w:p w:rsidR="003A37E6" w:rsidRDefault="003A37E6" w:rsidP="00C04A6B">
      <w:r>
        <w:continuationSeparator/>
      </w:r>
    </w:p>
  </w:footnote>
  <w:footnote w:id="1">
    <w:p w:rsidR="00292C1D" w:rsidRPr="006A5495" w:rsidRDefault="00292C1D" w:rsidP="006A5495">
      <w:pPr>
        <w:pStyle w:val="FootnoteText"/>
        <w:bidi/>
        <w:rPr>
          <w:rFonts w:cstheme="minorBidi"/>
          <w:rtl/>
        </w:rPr>
      </w:pPr>
      <w:r>
        <w:rPr>
          <w:rStyle w:val="FootnoteReference"/>
        </w:rPr>
        <w:footnoteRef/>
      </w:r>
      <w:r>
        <w:t xml:space="preserve"> </w:t>
      </w:r>
      <w:r w:rsidRPr="006A5495">
        <w:rPr>
          <w:rFonts w:ascii="David" w:hAnsi="David" w:cs="David" w:hint="eastAsia"/>
          <w:rtl/>
        </w:rPr>
        <w:t>למידע</w:t>
      </w:r>
      <w:r w:rsidRPr="006A5495">
        <w:rPr>
          <w:rFonts w:ascii="David" w:hAnsi="David" w:cs="David"/>
          <w:rtl/>
        </w:rPr>
        <w:t xml:space="preserve"> נוסף על פעילות המגזרים בשוק מטבע חוץ ראה את "מבט סטטיסטי 2024 – פרק ד" : </w:t>
      </w:r>
      <w:hyperlink r:id="rId1" w:tgtFrame="_blank" w:tooltip="https://www.boi.org.il/publications/regularpublications/statistic_bulletin/bulletin2024/" w:history="1">
        <w:r w:rsidRPr="006A5495">
          <w:rPr>
            <w:rStyle w:val="Hyperlink"/>
            <w:rFonts w:ascii="David" w:hAnsi="David" w:cs="David"/>
          </w:rPr>
          <w:t>https://www.boi.org.il/publications/regularpublications/statistic_bulletin/bulletin2024/</w:t>
        </w:r>
      </w:hyperlink>
    </w:p>
  </w:footnote>
  <w:footnote w:id="2">
    <w:p w:rsidR="00193994" w:rsidRPr="00256361" w:rsidRDefault="00193994" w:rsidP="00E72E16">
      <w:pPr>
        <w:pStyle w:val="FootnoteText"/>
        <w:bidi/>
        <w:rPr>
          <w:rFonts w:ascii="David" w:hAnsi="David" w:cs="David"/>
          <w:rtl/>
        </w:rPr>
      </w:pPr>
      <w:r>
        <w:rPr>
          <w:rStyle w:val="FootnoteReference"/>
        </w:rPr>
        <w:footnoteRef/>
      </w:r>
      <w:r>
        <w:t xml:space="preserve"> </w:t>
      </w:r>
      <w:r w:rsidR="002B417B" w:rsidRPr="002B417B">
        <w:rPr>
          <w:rFonts w:ascii="David" w:hAnsi="David" w:cs="David"/>
          <w:rtl/>
        </w:rPr>
        <w:t xml:space="preserve">המגזרים העיקריים המוצגים אינם מהווים את כל השוק - למידע נוסף ראה את" מערכת הנתונים על פעילות השוק שקל/מטבע חוץ" בפרסום מבט סטטיסטי </w:t>
      </w:r>
      <w:r w:rsidR="00E72E16">
        <w:rPr>
          <w:rFonts w:ascii="David" w:hAnsi="David" w:cs="David"/>
        </w:rPr>
        <w:t>2024</w:t>
      </w:r>
    </w:p>
    <w:p w:rsidR="00193994" w:rsidRPr="00FC3FED" w:rsidRDefault="008A4D31" w:rsidP="00193994">
      <w:pPr>
        <w:pStyle w:val="FootnoteText"/>
        <w:bidi/>
        <w:rPr>
          <w:rFonts w:ascii="David" w:hAnsi="David" w:cs="David"/>
          <w:rtl/>
        </w:rPr>
      </w:pPr>
      <w:hyperlink r:id="rId2" w:history="1">
        <w:r w:rsidR="00FC3FED" w:rsidRPr="00FC3FED">
          <w:rPr>
            <w:rStyle w:val="Hyperlink"/>
            <w:rFonts w:ascii="David" w:hAnsi="David" w:cs="David"/>
          </w:rPr>
          <w:t>https://www.boi.org.il/publications/regularpublications/statistic_bulletin/bulletin2024</w:t>
        </w:r>
        <w:r w:rsidR="00FC3FED" w:rsidRPr="00FC3FED">
          <w:rPr>
            <w:rStyle w:val="Hyperlink"/>
            <w:rFonts w:ascii="David" w:hAnsi="David" w:cs="David"/>
            <w:rtl/>
          </w:rPr>
          <w:t>/</w:t>
        </w:r>
      </w:hyperlink>
    </w:p>
  </w:footnote>
  <w:footnote w:id="3">
    <w:p w:rsidR="00024BD1" w:rsidRPr="004372A2" w:rsidRDefault="00024BD1" w:rsidP="002B2903">
      <w:pPr>
        <w:pStyle w:val="FootnoteText"/>
        <w:bidi/>
        <w:rPr>
          <w:rFonts w:ascii="David" w:hAnsi="David" w:cs="David"/>
          <w:rtl/>
        </w:rPr>
      </w:pPr>
      <w:r w:rsidRPr="00256361">
        <w:rPr>
          <w:rStyle w:val="FootnoteReference"/>
          <w:rFonts w:ascii="David" w:hAnsi="David" w:cs="David"/>
        </w:rPr>
        <w:footnoteRef/>
      </w:r>
      <w:r w:rsidRPr="00256361">
        <w:rPr>
          <w:rFonts w:ascii="David" w:hAnsi="David" w:cs="David"/>
        </w:rPr>
        <w:t xml:space="preserve"> </w:t>
      </w:r>
      <w:r>
        <w:rPr>
          <w:rFonts w:ascii="David" w:hAnsi="David" w:cs="David" w:hint="cs"/>
          <w:rtl/>
        </w:rPr>
        <w:t xml:space="preserve">החל משנת 2020, הנתונים לא כוללים סניפים של בנקים זרים בישראל. </w:t>
      </w:r>
    </w:p>
  </w:footnote>
  <w:footnote w:id="4">
    <w:p w:rsidR="007306CA" w:rsidRPr="005534E9" w:rsidRDefault="007306CA" w:rsidP="007306CA">
      <w:pPr>
        <w:bidi/>
        <w:rPr>
          <w:rFonts w:ascii="David" w:hAnsi="David" w:cs="David"/>
          <w:sz w:val="22"/>
          <w:szCs w:val="22"/>
          <w:rtl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5534E9">
        <w:rPr>
          <w:rFonts w:ascii="David" w:eastAsiaTheme="minorHAnsi" w:hAnsi="David" w:cs="David"/>
          <w:rtl/>
        </w:rPr>
        <w:t xml:space="preserve">נפח המסחר הכולל </w:t>
      </w:r>
      <w:r w:rsidRPr="005534E9">
        <w:rPr>
          <w:rFonts w:ascii="David" w:eastAsiaTheme="minorHAnsi" w:hAnsi="David" w:cs="David" w:hint="cs"/>
          <w:rtl/>
        </w:rPr>
        <w:t xml:space="preserve">הוא אומדן לפעילות הכוללת </w:t>
      </w:r>
      <w:r w:rsidRPr="00D2268D">
        <w:rPr>
          <w:rFonts w:ascii="David" w:eastAsiaTheme="minorHAnsi" w:hAnsi="David" w:cs="David" w:hint="cs"/>
          <w:rtl/>
        </w:rPr>
        <w:t>בעסקאות מול השקל</w:t>
      </w:r>
      <w:r w:rsidRPr="005534E9">
        <w:rPr>
          <w:rFonts w:ascii="David" w:eastAsiaTheme="minorHAnsi" w:hAnsi="David" w:cs="David" w:hint="cs"/>
          <w:rtl/>
        </w:rPr>
        <w:t xml:space="preserve">, מבוסס על דיווחים של </w:t>
      </w:r>
      <w:r w:rsidRPr="005534E9">
        <w:rPr>
          <w:rFonts w:ascii="David" w:eastAsiaTheme="minorHAnsi" w:hAnsi="David" w:cs="David"/>
          <w:rtl/>
        </w:rPr>
        <w:t xml:space="preserve">מערכת הבנקאות המקומית </w:t>
      </w:r>
      <w:r w:rsidRPr="005534E9">
        <w:rPr>
          <w:rFonts w:ascii="David" w:eastAsiaTheme="minorHAnsi" w:hAnsi="David" w:cs="David" w:hint="cs"/>
          <w:rtl/>
        </w:rPr>
        <w:t>ושל מדווחים זר</w:t>
      </w:r>
      <w:r w:rsidRPr="005534E9">
        <w:rPr>
          <w:rFonts w:ascii="David" w:eastAsiaTheme="minorHAnsi" w:hAnsi="David" w:cs="David"/>
          <w:rtl/>
        </w:rPr>
        <w:t>ים</w:t>
      </w:r>
      <w:r w:rsidRPr="005534E9">
        <w:rPr>
          <w:rFonts w:ascii="David" w:eastAsiaTheme="minorHAnsi" w:hAnsi="David" w:cs="David"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531"/>
    <w:rsid w:val="000035A1"/>
    <w:rsid w:val="000038D4"/>
    <w:rsid w:val="00004644"/>
    <w:rsid w:val="00005843"/>
    <w:rsid w:val="00007757"/>
    <w:rsid w:val="00007D99"/>
    <w:rsid w:val="00010FC5"/>
    <w:rsid w:val="00011B0D"/>
    <w:rsid w:val="0001222D"/>
    <w:rsid w:val="000133CD"/>
    <w:rsid w:val="00014BDC"/>
    <w:rsid w:val="00015825"/>
    <w:rsid w:val="00016D86"/>
    <w:rsid w:val="000214DB"/>
    <w:rsid w:val="00024BD1"/>
    <w:rsid w:val="00025140"/>
    <w:rsid w:val="000261BE"/>
    <w:rsid w:val="00027C8A"/>
    <w:rsid w:val="00027F15"/>
    <w:rsid w:val="00030347"/>
    <w:rsid w:val="000329CD"/>
    <w:rsid w:val="00032A75"/>
    <w:rsid w:val="000346A8"/>
    <w:rsid w:val="00034E2A"/>
    <w:rsid w:val="000355D0"/>
    <w:rsid w:val="00040540"/>
    <w:rsid w:val="00045EEC"/>
    <w:rsid w:val="00046872"/>
    <w:rsid w:val="00046FD3"/>
    <w:rsid w:val="00050D65"/>
    <w:rsid w:val="000511E7"/>
    <w:rsid w:val="0005353F"/>
    <w:rsid w:val="00053D76"/>
    <w:rsid w:val="000578C8"/>
    <w:rsid w:val="00060CD7"/>
    <w:rsid w:val="00063ACA"/>
    <w:rsid w:val="00064655"/>
    <w:rsid w:val="00065FC6"/>
    <w:rsid w:val="0007040B"/>
    <w:rsid w:val="00071CA9"/>
    <w:rsid w:val="00073A6E"/>
    <w:rsid w:val="00075BC2"/>
    <w:rsid w:val="000771B6"/>
    <w:rsid w:val="00077867"/>
    <w:rsid w:val="00080CDA"/>
    <w:rsid w:val="0008243A"/>
    <w:rsid w:val="00085271"/>
    <w:rsid w:val="000863E5"/>
    <w:rsid w:val="00090558"/>
    <w:rsid w:val="00090B40"/>
    <w:rsid w:val="00090D2F"/>
    <w:rsid w:val="000916E4"/>
    <w:rsid w:val="00094325"/>
    <w:rsid w:val="00095A9E"/>
    <w:rsid w:val="00096E44"/>
    <w:rsid w:val="0009769A"/>
    <w:rsid w:val="00097EFB"/>
    <w:rsid w:val="000A1C56"/>
    <w:rsid w:val="000A3731"/>
    <w:rsid w:val="000A3F1A"/>
    <w:rsid w:val="000A4006"/>
    <w:rsid w:val="000A4E46"/>
    <w:rsid w:val="000A624C"/>
    <w:rsid w:val="000A72C5"/>
    <w:rsid w:val="000B0E16"/>
    <w:rsid w:val="000B11B7"/>
    <w:rsid w:val="000B1ABF"/>
    <w:rsid w:val="000B1F50"/>
    <w:rsid w:val="000B589C"/>
    <w:rsid w:val="000B7847"/>
    <w:rsid w:val="000C032A"/>
    <w:rsid w:val="000C2489"/>
    <w:rsid w:val="000C2635"/>
    <w:rsid w:val="000C2B2A"/>
    <w:rsid w:val="000C3B85"/>
    <w:rsid w:val="000D098E"/>
    <w:rsid w:val="000D10F8"/>
    <w:rsid w:val="000D1783"/>
    <w:rsid w:val="000D2936"/>
    <w:rsid w:val="000D3D94"/>
    <w:rsid w:val="000D5480"/>
    <w:rsid w:val="000D7291"/>
    <w:rsid w:val="000D7DB9"/>
    <w:rsid w:val="000E4486"/>
    <w:rsid w:val="000E4B36"/>
    <w:rsid w:val="000E5483"/>
    <w:rsid w:val="000E57E1"/>
    <w:rsid w:val="000E58BB"/>
    <w:rsid w:val="000E6BDB"/>
    <w:rsid w:val="000F1DAD"/>
    <w:rsid w:val="000F3FC4"/>
    <w:rsid w:val="000F5CC1"/>
    <w:rsid w:val="000F7954"/>
    <w:rsid w:val="001015EF"/>
    <w:rsid w:val="00104D01"/>
    <w:rsid w:val="001057E6"/>
    <w:rsid w:val="0010713B"/>
    <w:rsid w:val="0010755F"/>
    <w:rsid w:val="00110C5E"/>
    <w:rsid w:val="00112D81"/>
    <w:rsid w:val="001135D3"/>
    <w:rsid w:val="00114BCD"/>
    <w:rsid w:val="00115086"/>
    <w:rsid w:val="001159FC"/>
    <w:rsid w:val="00115A82"/>
    <w:rsid w:val="00117379"/>
    <w:rsid w:val="00117E8C"/>
    <w:rsid w:val="00121A45"/>
    <w:rsid w:val="00121A5F"/>
    <w:rsid w:val="00121F12"/>
    <w:rsid w:val="001230E3"/>
    <w:rsid w:val="00123388"/>
    <w:rsid w:val="001245F9"/>
    <w:rsid w:val="00124668"/>
    <w:rsid w:val="00124D6B"/>
    <w:rsid w:val="001256D3"/>
    <w:rsid w:val="001268F4"/>
    <w:rsid w:val="00126A4A"/>
    <w:rsid w:val="00131D80"/>
    <w:rsid w:val="00132055"/>
    <w:rsid w:val="001322CA"/>
    <w:rsid w:val="001329EF"/>
    <w:rsid w:val="00132F14"/>
    <w:rsid w:val="00133905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47DC7"/>
    <w:rsid w:val="00150F6A"/>
    <w:rsid w:val="0015310E"/>
    <w:rsid w:val="00156760"/>
    <w:rsid w:val="00157061"/>
    <w:rsid w:val="001577DC"/>
    <w:rsid w:val="00157EDF"/>
    <w:rsid w:val="00160B94"/>
    <w:rsid w:val="001613D3"/>
    <w:rsid w:val="00162E06"/>
    <w:rsid w:val="00162F2C"/>
    <w:rsid w:val="00163979"/>
    <w:rsid w:val="0016558C"/>
    <w:rsid w:val="0016750A"/>
    <w:rsid w:val="00167A3A"/>
    <w:rsid w:val="00170228"/>
    <w:rsid w:val="00171A02"/>
    <w:rsid w:val="00171F4D"/>
    <w:rsid w:val="001723F1"/>
    <w:rsid w:val="00175EA4"/>
    <w:rsid w:val="00176750"/>
    <w:rsid w:val="00177241"/>
    <w:rsid w:val="00177686"/>
    <w:rsid w:val="001778D8"/>
    <w:rsid w:val="00180E8A"/>
    <w:rsid w:val="001819DD"/>
    <w:rsid w:val="0018269F"/>
    <w:rsid w:val="001843E5"/>
    <w:rsid w:val="00187BA8"/>
    <w:rsid w:val="0019011E"/>
    <w:rsid w:val="00190AA2"/>
    <w:rsid w:val="00190E7A"/>
    <w:rsid w:val="0019133B"/>
    <w:rsid w:val="00191526"/>
    <w:rsid w:val="00192212"/>
    <w:rsid w:val="001922D1"/>
    <w:rsid w:val="00192BA0"/>
    <w:rsid w:val="00193994"/>
    <w:rsid w:val="001948E0"/>
    <w:rsid w:val="00196AEE"/>
    <w:rsid w:val="001A155A"/>
    <w:rsid w:val="001A29D0"/>
    <w:rsid w:val="001A2C93"/>
    <w:rsid w:val="001A3C78"/>
    <w:rsid w:val="001A3E11"/>
    <w:rsid w:val="001A678C"/>
    <w:rsid w:val="001A7635"/>
    <w:rsid w:val="001B11A5"/>
    <w:rsid w:val="001B39FB"/>
    <w:rsid w:val="001B4831"/>
    <w:rsid w:val="001B6C5E"/>
    <w:rsid w:val="001B6F9F"/>
    <w:rsid w:val="001C0D6E"/>
    <w:rsid w:val="001C2BC2"/>
    <w:rsid w:val="001C3A2E"/>
    <w:rsid w:val="001C43B2"/>
    <w:rsid w:val="001C582B"/>
    <w:rsid w:val="001C6F3D"/>
    <w:rsid w:val="001D2425"/>
    <w:rsid w:val="001D2795"/>
    <w:rsid w:val="001D4055"/>
    <w:rsid w:val="001D578A"/>
    <w:rsid w:val="001D7646"/>
    <w:rsid w:val="001E47BB"/>
    <w:rsid w:val="001E4F8E"/>
    <w:rsid w:val="001E5A00"/>
    <w:rsid w:val="001E5D7D"/>
    <w:rsid w:val="001E6258"/>
    <w:rsid w:val="001E7D3F"/>
    <w:rsid w:val="001E7E23"/>
    <w:rsid w:val="001F1151"/>
    <w:rsid w:val="001F19E7"/>
    <w:rsid w:val="001F2946"/>
    <w:rsid w:val="001F3D99"/>
    <w:rsid w:val="001F40C2"/>
    <w:rsid w:val="001F5829"/>
    <w:rsid w:val="001F623A"/>
    <w:rsid w:val="00200A5B"/>
    <w:rsid w:val="00201BF6"/>
    <w:rsid w:val="00201ECB"/>
    <w:rsid w:val="002022E3"/>
    <w:rsid w:val="00203888"/>
    <w:rsid w:val="002044D2"/>
    <w:rsid w:val="00207C36"/>
    <w:rsid w:val="002101D4"/>
    <w:rsid w:val="00210869"/>
    <w:rsid w:val="00211627"/>
    <w:rsid w:val="00212C3E"/>
    <w:rsid w:val="00214A25"/>
    <w:rsid w:val="002168C6"/>
    <w:rsid w:val="00217436"/>
    <w:rsid w:val="00217697"/>
    <w:rsid w:val="00222765"/>
    <w:rsid w:val="00225121"/>
    <w:rsid w:val="00231270"/>
    <w:rsid w:val="0023501E"/>
    <w:rsid w:val="0023547E"/>
    <w:rsid w:val="00235952"/>
    <w:rsid w:val="00236048"/>
    <w:rsid w:val="002360BD"/>
    <w:rsid w:val="002435C1"/>
    <w:rsid w:val="002438E2"/>
    <w:rsid w:val="00244B81"/>
    <w:rsid w:val="002455A4"/>
    <w:rsid w:val="0024679B"/>
    <w:rsid w:val="002473F2"/>
    <w:rsid w:val="00251B18"/>
    <w:rsid w:val="00253DB1"/>
    <w:rsid w:val="0025601B"/>
    <w:rsid w:val="00256361"/>
    <w:rsid w:val="00260180"/>
    <w:rsid w:val="002603C3"/>
    <w:rsid w:val="00262224"/>
    <w:rsid w:val="002636D1"/>
    <w:rsid w:val="002646A1"/>
    <w:rsid w:val="00265CDB"/>
    <w:rsid w:val="0026668A"/>
    <w:rsid w:val="00266A17"/>
    <w:rsid w:val="00272A95"/>
    <w:rsid w:val="00273A91"/>
    <w:rsid w:val="00273B38"/>
    <w:rsid w:val="00274D7A"/>
    <w:rsid w:val="002806D2"/>
    <w:rsid w:val="002811E6"/>
    <w:rsid w:val="0028134B"/>
    <w:rsid w:val="00281E65"/>
    <w:rsid w:val="00282C17"/>
    <w:rsid w:val="00283F56"/>
    <w:rsid w:val="00285A84"/>
    <w:rsid w:val="00286F6D"/>
    <w:rsid w:val="0029270D"/>
    <w:rsid w:val="00292718"/>
    <w:rsid w:val="00292B14"/>
    <w:rsid w:val="00292C1D"/>
    <w:rsid w:val="002A4BDC"/>
    <w:rsid w:val="002A5C19"/>
    <w:rsid w:val="002A5E79"/>
    <w:rsid w:val="002A6574"/>
    <w:rsid w:val="002B0707"/>
    <w:rsid w:val="002B0808"/>
    <w:rsid w:val="002B1C21"/>
    <w:rsid w:val="002B263E"/>
    <w:rsid w:val="002B2903"/>
    <w:rsid w:val="002B3FB0"/>
    <w:rsid w:val="002B4161"/>
    <w:rsid w:val="002B417B"/>
    <w:rsid w:val="002B4D76"/>
    <w:rsid w:val="002B57EF"/>
    <w:rsid w:val="002B6B7C"/>
    <w:rsid w:val="002B7BF9"/>
    <w:rsid w:val="002C0E72"/>
    <w:rsid w:val="002C36B1"/>
    <w:rsid w:val="002D01AB"/>
    <w:rsid w:val="002D11B6"/>
    <w:rsid w:val="002D11F1"/>
    <w:rsid w:val="002D2268"/>
    <w:rsid w:val="002D368D"/>
    <w:rsid w:val="002D50AA"/>
    <w:rsid w:val="002D6BFC"/>
    <w:rsid w:val="002E1AC6"/>
    <w:rsid w:val="002E1D11"/>
    <w:rsid w:val="002E1E36"/>
    <w:rsid w:val="002E4CFF"/>
    <w:rsid w:val="002E50F6"/>
    <w:rsid w:val="002E7747"/>
    <w:rsid w:val="002F0F35"/>
    <w:rsid w:val="002F2100"/>
    <w:rsid w:val="002F2B3C"/>
    <w:rsid w:val="002F41C3"/>
    <w:rsid w:val="002F7CDC"/>
    <w:rsid w:val="00300B3A"/>
    <w:rsid w:val="00303916"/>
    <w:rsid w:val="003044F6"/>
    <w:rsid w:val="00304746"/>
    <w:rsid w:val="003102B4"/>
    <w:rsid w:val="003132E4"/>
    <w:rsid w:val="00313810"/>
    <w:rsid w:val="00315053"/>
    <w:rsid w:val="003159CD"/>
    <w:rsid w:val="003159CF"/>
    <w:rsid w:val="0031697F"/>
    <w:rsid w:val="00317F88"/>
    <w:rsid w:val="00321209"/>
    <w:rsid w:val="00322023"/>
    <w:rsid w:val="00322500"/>
    <w:rsid w:val="00323FCE"/>
    <w:rsid w:val="003241A7"/>
    <w:rsid w:val="003270FE"/>
    <w:rsid w:val="00327B60"/>
    <w:rsid w:val="003309FD"/>
    <w:rsid w:val="0033209D"/>
    <w:rsid w:val="003329C4"/>
    <w:rsid w:val="00332CFE"/>
    <w:rsid w:val="0033595D"/>
    <w:rsid w:val="003364E6"/>
    <w:rsid w:val="00337E33"/>
    <w:rsid w:val="00342586"/>
    <w:rsid w:val="00342EDF"/>
    <w:rsid w:val="003433C9"/>
    <w:rsid w:val="00343917"/>
    <w:rsid w:val="00344613"/>
    <w:rsid w:val="00344E3D"/>
    <w:rsid w:val="00345033"/>
    <w:rsid w:val="00345945"/>
    <w:rsid w:val="003477B4"/>
    <w:rsid w:val="003505DD"/>
    <w:rsid w:val="003516BF"/>
    <w:rsid w:val="00351C9A"/>
    <w:rsid w:val="003537B9"/>
    <w:rsid w:val="003544E1"/>
    <w:rsid w:val="00355BA0"/>
    <w:rsid w:val="00357823"/>
    <w:rsid w:val="00357F2D"/>
    <w:rsid w:val="00361581"/>
    <w:rsid w:val="0036171D"/>
    <w:rsid w:val="003642F7"/>
    <w:rsid w:val="003655B1"/>
    <w:rsid w:val="00365D01"/>
    <w:rsid w:val="0036708A"/>
    <w:rsid w:val="00367B73"/>
    <w:rsid w:val="00367FFD"/>
    <w:rsid w:val="0037062A"/>
    <w:rsid w:val="0037098C"/>
    <w:rsid w:val="00374070"/>
    <w:rsid w:val="00374756"/>
    <w:rsid w:val="0037499F"/>
    <w:rsid w:val="003752B3"/>
    <w:rsid w:val="00375D59"/>
    <w:rsid w:val="00376120"/>
    <w:rsid w:val="003773AA"/>
    <w:rsid w:val="0038002F"/>
    <w:rsid w:val="00380659"/>
    <w:rsid w:val="00380894"/>
    <w:rsid w:val="003822B2"/>
    <w:rsid w:val="00382320"/>
    <w:rsid w:val="00382716"/>
    <w:rsid w:val="00384807"/>
    <w:rsid w:val="00386BAD"/>
    <w:rsid w:val="003901E0"/>
    <w:rsid w:val="0039036B"/>
    <w:rsid w:val="00393094"/>
    <w:rsid w:val="0039453F"/>
    <w:rsid w:val="00395A19"/>
    <w:rsid w:val="00397697"/>
    <w:rsid w:val="00397D52"/>
    <w:rsid w:val="003A2C16"/>
    <w:rsid w:val="003A37E6"/>
    <w:rsid w:val="003A4403"/>
    <w:rsid w:val="003A5253"/>
    <w:rsid w:val="003A584D"/>
    <w:rsid w:val="003A5A52"/>
    <w:rsid w:val="003A6531"/>
    <w:rsid w:val="003B5057"/>
    <w:rsid w:val="003B5C7A"/>
    <w:rsid w:val="003C19EB"/>
    <w:rsid w:val="003C5812"/>
    <w:rsid w:val="003C638D"/>
    <w:rsid w:val="003C74AE"/>
    <w:rsid w:val="003D0678"/>
    <w:rsid w:val="003D1221"/>
    <w:rsid w:val="003D208A"/>
    <w:rsid w:val="003D770A"/>
    <w:rsid w:val="003D7A36"/>
    <w:rsid w:val="003D7D42"/>
    <w:rsid w:val="003E0C33"/>
    <w:rsid w:val="003E1908"/>
    <w:rsid w:val="003E3051"/>
    <w:rsid w:val="003E4452"/>
    <w:rsid w:val="003F13D5"/>
    <w:rsid w:val="003F163D"/>
    <w:rsid w:val="003F1E6B"/>
    <w:rsid w:val="003F43EE"/>
    <w:rsid w:val="003F4C15"/>
    <w:rsid w:val="003F7838"/>
    <w:rsid w:val="00401ADB"/>
    <w:rsid w:val="004024FA"/>
    <w:rsid w:val="00403161"/>
    <w:rsid w:val="004031B1"/>
    <w:rsid w:val="00404881"/>
    <w:rsid w:val="00411332"/>
    <w:rsid w:val="00411CD8"/>
    <w:rsid w:val="00411F9C"/>
    <w:rsid w:val="0041202F"/>
    <w:rsid w:val="00412AF2"/>
    <w:rsid w:val="00412EA5"/>
    <w:rsid w:val="00413158"/>
    <w:rsid w:val="0041439D"/>
    <w:rsid w:val="00414E02"/>
    <w:rsid w:val="00415416"/>
    <w:rsid w:val="00416426"/>
    <w:rsid w:val="0041796A"/>
    <w:rsid w:val="00420F93"/>
    <w:rsid w:val="00422B0F"/>
    <w:rsid w:val="00424756"/>
    <w:rsid w:val="00426FE4"/>
    <w:rsid w:val="004327FD"/>
    <w:rsid w:val="004330A6"/>
    <w:rsid w:val="00433323"/>
    <w:rsid w:val="004341A0"/>
    <w:rsid w:val="00436D8C"/>
    <w:rsid w:val="004372A2"/>
    <w:rsid w:val="00440CA2"/>
    <w:rsid w:val="00441A4E"/>
    <w:rsid w:val="0044467D"/>
    <w:rsid w:val="004467A1"/>
    <w:rsid w:val="00446CA1"/>
    <w:rsid w:val="0044713E"/>
    <w:rsid w:val="00447E2D"/>
    <w:rsid w:val="00450DA7"/>
    <w:rsid w:val="0045117B"/>
    <w:rsid w:val="004566C7"/>
    <w:rsid w:val="00456771"/>
    <w:rsid w:val="00456EC0"/>
    <w:rsid w:val="00456FB5"/>
    <w:rsid w:val="0045705A"/>
    <w:rsid w:val="00457614"/>
    <w:rsid w:val="00457D76"/>
    <w:rsid w:val="004625EB"/>
    <w:rsid w:val="00465A54"/>
    <w:rsid w:val="00466063"/>
    <w:rsid w:val="00470746"/>
    <w:rsid w:val="004709B4"/>
    <w:rsid w:val="00470A3C"/>
    <w:rsid w:val="00471F70"/>
    <w:rsid w:val="004726DB"/>
    <w:rsid w:val="00473858"/>
    <w:rsid w:val="00473F72"/>
    <w:rsid w:val="00474B79"/>
    <w:rsid w:val="00475264"/>
    <w:rsid w:val="00481245"/>
    <w:rsid w:val="00481515"/>
    <w:rsid w:val="00481BD8"/>
    <w:rsid w:val="00482C1F"/>
    <w:rsid w:val="00482F53"/>
    <w:rsid w:val="004935CD"/>
    <w:rsid w:val="00493822"/>
    <w:rsid w:val="00493B40"/>
    <w:rsid w:val="00497843"/>
    <w:rsid w:val="004A0170"/>
    <w:rsid w:val="004A09F6"/>
    <w:rsid w:val="004A3B32"/>
    <w:rsid w:val="004A59C4"/>
    <w:rsid w:val="004B07EA"/>
    <w:rsid w:val="004B0DF2"/>
    <w:rsid w:val="004B0F95"/>
    <w:rsid w:val="004B18B7"/>
    <w:rsid w:val="004B1BE7"/>
    <w:rsid w:val="004B212B"/>
    <w:rsid w:val="004B3C97"/>
    <w:rsid w:val="004B5D8D"/>
    <w:rsid w:val="004B62BC"/>
    <w:rsid w:val="004B62EF"/>
    <w:rsid w:val="004B74BD"/>
    <w:rsid w:val="004C0E5D"/>
    <w:rsid w:val="004C1866"/>
    <w:rsid w:val="004C386E"/>
    <w:rsid w:val="004C46FB"/>
    <w:rsid w:val="004C4C02"/>
    <w:rsid w:val="004C4CE6"/>
    <w:rsid w:val="004C5FB1"/>
    <w:rsid w:val="004C7344"/>
    <w:rsid w:val="004D0131"/>
    <w:rsid w:val="004D208D"/>
    <w:rsid w:val="004D2F5D"/>
    <w:rsid w:val="004D3B85"/>
    <w:rsid w:val="004D42AB"/>
    <w:rsid w:val="004D68CC"/>
    <w:rsid w:val="004D6C65"/>
    <w:rsid w:val="004E21FD"/>
    <w:rsid w:val="004E2A39"/>
    <w:rsid w:val="004E549D"/>
    <w:rsid w:val="004E5DC4"/>
    <w:rsid w:val="004E6F2F"/>
    <w:rsid w:val="004F06E0"/>
    <w:rsid w:val="004F3747"/>
    <w:rsid w:val="004F3E2A"/>
    <w:rsid w:val="004F4553"/>
    <w:rsid w:val="004F4E1C"/>
    <w:rsid w:val="004F7549"/>
    <w:rsid w:val="00502068"/>
    <w:rsid w:val="00502803"/>
    <w:rsid w:val="005028FF"/>
    <w:rsid w:val="00503F17"/>
    <w:rsid w:val="005044A0"/>
    <w:rsid w:val="005047EF"/>
    <w:rsid w:val="005054D8"/>
    <w:rsid w:val="0050666E"/>
    <w:rsid w:val="00507811"/>
    <w:rsid w:val="00511ADE"/>
    <w:rsid w:val="00511C28"/>
    <w:rsid w:val="00511CED"/>
    <w:rsid w:val="00514351"/>
    <w:rsid w:val="0051453C"/>
    <w:rsid w:val="00515A13"/>
    <w:rsid w:val="00521505"/>
    <w:rsid w:val="00530D48"/>
    <w:rsid w:val="00531A5D"/>
    <w:rsid w:val="00532368"/>
    <w:rsid w:val="005332FA"/>
    <w:rsid w:val="00533D14"/>
    <w:rsid w:val="00534660"/>
    <w:rsid w:val="005346CA"/>
    <w:rsid w:val="005356A3"/>
    <w:rsid w:val="00535E2E"/>
    <w:rsid w:val="005366CB"/>
    <w:rsid w:val="005411C6"/>
    <w:rsid w:val="00541291"/>
    <w:rsid w:val="005414DC"/>
    <w:rsid w:val="00541D5A"/>
    <w:rsid w:val="00541E3F"/>
    <w:rsid w:val="00541FB3"/>
    <w:rsid w:val="00542D66"/>
    <w:rsid w:val="00543C49"/>
    <w:rsid w:val="00543F25"/>
    <w:rsid w:val="00544963"/>
    <w:rsid w:val="00544C37"/>
    <w:rsid w:val="00546ACF"/>
    <w:rsid w:val="00550E8E"/>
    <w:rsid w:val="005534E9"/>
    <w:rsid w:val="0055353D"/>
    <w:rsid w:val="00553CEB"/>
    <w:rsid w:val="0056091C"/>
    <w:rsid w:val="0056122A"/>
    <w:rsid w:val="0056149E"/>
    <w:rsid w:val="0056248C"/>
    <w:rsid w:val="00565C6D"/>
    <w:rsid w:val="0057040C"/>
    <w:rsid w:val="005709DB"/>
    <w:rsid w:val="00571DD3"/>
    <w:rsid w:val="00572B8D"/>
    <w:rsid w:val="00574CCA"/>
    <w:rsid w:val="00575E00"/>
    <w:rsid w:val="00577CFF"/>
    <w:rsid w:val="005808C9"/>
    <w:rsid w:val="00582935"/>
    <w:rsid w:val="00582D1F"/>
    <w:rsid w:val="0059148B"/>
    <w:rsid w:val="00591BE8"/>
    <w:rsid w:val="00592303"/>
    <w:rsid w:val="00592639"/>
    <w:rsid w:val="00593A56"/>
    <w:rsid w:val="00593C3C"/>
    <w:rsid w:val="00593FDD"/>
    <w:rsid w:val="00595552"/>
    <w:rsid w:val="005962B4"/>
    <w:rsid w:val="005A042E"/>
    <w:rsid w:val="005A1DD7"/>
    <w:rsid w:val="005A2BB4"/>
    <w:rsid w:val="005A42A6"/>
    <w:rsid w:val="005A5F55"/>
    <w:rsid w:val="005A7E39"/>
    <w:rsid w:val="005B0E08"/>
    <w:rsid w:val="005B3926"/>
    <w:rsid w:val="005B790C"/>
    <w:rsid w:val="005C0976"/>
    <w:rsid w:val="005C19FF"/>
    <w:rsid w:val="005C3454"/>
    <w:rsid w:val="005C3888"/>
    <w:rsid w:val="005C480F"/>
    <w:rsid w:val="005C4BF8"/>
    <w:rsid w:val="005C509D"/>
    <w:rsid w:val="005C6CC2"/>
    <w:rsid w:val="005C6F0A"/>
    <w:rsid w:val="005D1B42"/>
    <w:rsid w:val="005D39CA"/>
    <w:rsid w:val="005D4298"/>
    <w:rsid w:val="005D42C8"/>
    <w:rsid w:val="005D4477"/>
    <w:rsid w:val="005D474E"/>
    <w:rsid w:val="005D694B"/>
    <w:rsid w:val="005E1369"/>
    <w:rsid w:val="005E143B"/>
    <w:rsid w:val="005E37F8"/>
    <w:rsid w:val="005E6556"/>
    <w:rsid w:val="005E7897"/>
    <w:rsid w:val="005F19C3"/>
    <w:rsid w:val="005F35EF"/>
    <w:rsid w:val="005F4635"/>
    <w:rsid w:val="005F4984"/>
    <w:rsid w:val="005F5D4E"/>
    <w:rsid w:val="005F662C"/>
    <w:rsid w:val="00601689"/>
    <w:rsid w:val="00605DEA"/>
    <w:rsid w:val="00606812"/>
    <w:rsid w:val="00610022"/>
    <w:rsid w:val="0061061F"/>
    <w:rsid w:val="006123F9"/>
    <w:rsid w:val="00613EBF"/>
    <w:rsid w:val="00614095"/>
    <w:rsid w:val="00614732"/>
    <w:rsid w:val="00614B30"/>
    <w:rsid w:val="00614C05"/>
    <w:rsid w:val="00616C24"/>
    <w:rsid w:val="00620631"/>
    <w:rsid w:val="006251C8"/>
    <w:rsid w:val="00625314"/>
    <w:rsid w:val="0062534F"/>
    <w:rsid w:val="00625A1B"/>
    <w:rsid w:val="00630CFB"/>
    <w:rsid w:val="006311E4"/>
    <w:rsid w:val="006312BB"/>
    <w:rsid w:val="00631C9E"/>
    <w:rsid w:val="00635904"/>
    <w:rsid w:val="00635936"/>
    <w:rsid w:val="00635EAE"/>
    <w:rsid w:val="00636040"/>
    <w:rsid w:val="00636E68"/>
    <w:rsid w:val="00640FA2"/>
    <w:rsid w:val="00641006"/>
    <w:rsid w:val="00642C25"/>
    <w:rsid w:val="0064335A"/>
    <w:rsid w:val="00643919"/>
    <w:rsid w:val="00643D21"/>
    <w:rsid w:val="00644959"/>
    <w:rsid w:val="006472EE"/>
    <w:rsid w:val="0064747B"/>
    <w:rsid w:val="00651335"/>
    <w:rsid w:val="006527B4"/>
    <w:rsid w:val="006545E0"/>
    <w:rsid w:val="006554DF"/>
    <w:rsid w:val="00655E8F"/>
    <w:rsid w:val="00656520"/>
    <w:rsid w:val="00660C5A"/>
    <w:rsid w:val="00661451"/>
    <w:rsid w:val="00662271"/>
    <w:rsid w:val="00664A34"/>
    <w:rsid w:val="006657A5"/>
    <w:rsid w:val="00665937"/>
    <w:rsid w:val="00665A54"/>
    <w:rsid w:val="00666126"/>
    <w:rsid w:val="00666CC6"/>
    <w:rsid w:val="006704C8"/>
    <w:rsid w:val="00670EB5"/>
    <w:rsid w:val="0067168F"/>
    <w:rsid w:val="00672EAD"/>
    <w:rsid w:val="00675031"/>
    <w:rsid w:val="00675922"/>
    <w:rsid w:val="006771A5"/>
    <w:rsid w:val="006800B3"/>
    <w:rsid w:val="006805BD"/>
    <w:rsid w:val="00684AFE"/>
    <w:rsid w:val="00685174"/>
    <w:rsid w:val="00686123"/>
    <w:rsid w:val="0068614B"/>
    <w:rsid w:val="00686C5E"/>
    <w:rsid w:val="0068710B"/>
    <w:rsid w:val="00687747"/>
    <w:rsid w:val="00692A43"/>
    <w:rsid w:val="00692CDF"/>
    <w:rsid w:val="006939D7"/>
    <w:rsid w:val="00693CD9"/>
    <w:rsid w:val="00694AA0"/>
    <w:rsid w:val="0069531F"/>
    <w:rsid w:val="006956C5"/>
    <w:rsid w:val="00697808"/>
    <w:rsid w:val="006A1A59"/>
    <w:rsid w:val="006A31F0"/>
    <w:rsid w:val="006A3211"/>
    <w:rsid w:val="006A4210"/>
    <w:rsid w:val="006A5495"/>
    <w:rsid w:val="006A56AC"/>
    <w:rsid w:val="006A6A5A"/>
    <w:rsid w:val="006A6BEE"/>
    <w:rsid w:val="006B06E8"/>
    <w:rsid w:val="006B1087"/>
    <w:rsid w:val="006B314F"/>
    <w:rsid w:val="006B48A9"/>
    <w:rsid w:val="006B4F6C"/>
    <w:rsid w:val="006B6158"/>
    <w:rsid w:val="006B7530"/>
    <w:rsid w:val="006B7C5E"/>
    <w:rsid w:val="006B7D34"/>
    <w:rsid w:val="006B7E33"/>
    <w:rsid w:val="006C01FB"/>
    <w:rsid w:val="006C039C"/>
    <w:rsid w:val="006C0A5C"/>
    <w:rsid w:val="006C138C"/>
    <w:rsid w:val="006C19B2"/>
    <w:rsid w:val="006C1C1F"/>
    <w:rsid w:val="006C1D47"/>
    <w:rsid w:val="006C3931"/>
    <w:rsid w:val="006C4942"/>
    <w:rsid w:val="006C5C49"/>
    <w:rsid w:val="006C5E66"/>
    <w:rsid w:val="006C5FAA"/>
    <w:rsid w:val="006C6D8A"/>
    <w:rsid w:val="006D10B5"/>
    <w:rsid w:val="006D10C4"/>
    <w:rsid w:val="006D1880"/>
    <w:rsid w:val="006D21DD"/>
    <w:rsid w:val="006D6FBD"/>
    <w:rsid w:val="006E1923"/>
    <w:rsid w:val="006E2CBE"/>
    <w:rsid w:val="006E2EAE"/>
    <w:rsid w:val="006E5623"/>
    <w:rsid w:val="006E6015"/>
    <w:rsid w:val="006E672B"/>
    <w:rsid w:val="006F3306"/>
    <w:rsid w:val="006F6337"/>
    <w:rsid w:val="006F7631"/>
    <w:rsid w:val="0070231A"/>
    <w:rsid w:val="0070423F"/>
    <w:rsid w:val="0070530B"/>
    <w:rsid w:val="00705F07"/>
    <w:rsid w:val="00706BD4"/>
    <w:rsid w:val="007073D5"/>
    <w:rsid w:val="00707E14"/>
    <w:rsid w:val="007134EE"/>
    <w:rsid w:val="0071361C"/>
    <w:rsid w:val="00713751"/>
    <w:rsid w:val="007224B8"/>
    <w:rsid w:val="00722F23"/>
    <w:rsid w:val="00722FF8"/>
    <w:rsid w:val="0072395F"/>
    <w:rsid w:val="00723C59"/>
    <w:rsid w:val="00724CD4"/>
    <w:rsid w:val="00726672"/>
    <w:rsid w:val="0072782F"/>
    <w:rsid w:val="007306CA"/>
    <w:rsid w:val="00730C46"/>
    <w:rsid w:val="00730F17"/>
    <w:rsid w:val="00732F95"/>
    <w:rsid w:val="0073315E"/>
    <w:rsid w:val="00733263"/>
    <w:rsid w:val="00733497"/>
    <w:rsid w:val="00736E4D"/>
    <w:rsid w:val="00741A31"/>
    <w:rsid w:val="00742138"/>
    <w:rsid w:val="00743C50"/>
    <w:rsid w:val="007449B9"/>
    <w:rsid w:val="0074502E"/>
    <w:rsid w:val="00745544"/>
    <w:rsid w:val="007510C2"/>
    <w:rsid w:val="0075204C"/>
    <w:rsid w:val="00752657"/>
    <w:rsid w:val="00754284"/>
    <w:rsid w:val="00754444"/>
    <w:rsid w:val="00754DCC"/>
    <w:rsid w:val="007551BC"/>
    <w:rsid w:val="00755825"/>
    <w:rsid w:val="00756180"/>
    <w:rsid w:val="007614EB"/>
    <w:rsid w:val="00761DFD"/>
    <w:rsid w:val="00762D5A"/>
    <w:rsid w:val="007656B5"/>
    <w:rsid w:val="00772CD4"/>
    <w:rsid w:val="00773BFD"/>
    <w:rsid w:val="0077472D"/>
    <w:rsid w:val="00775B21"/>
    <w:rsid w:val="007774BC"/>
    <w:rsid w:val="00781B8F"/>
    <w:rsid w:val="00785941"/>
    <w:rsid w:val="00786429"/>
    <w:rsid w:val="007901B5"/>
    <w:rsid w:val="00792855"/>
    <w:rsid w:val="00792F22"/>
    <w:rsid w:val="00793CBD"/>
    <w:rsid w:val="007978A1"/>
    <w:rsid w:val="007A1EC6"/>
    <w:rsid w:val="007A1FC2"/>
    <w:rsid w:val="007A32FD"/>
    <w:rsid w:val="007A3B7F"/>
    <w:rsid w:val="007A4FEC"/>
    <w:rsid w:val="007A7632"/>
    <w:rsid w:val="007A7D8A"/>
    <w:rsid w:val="007B1767"/>
    <w:rsid w:val="007B1DEB"/>
    <w:rsid w:val="007B2648"/>
    <w:rsid w:val="007B4829"/>
    <w:rsid w:val="007B5574"/>
    <w:rsid w:val="007B7991"/>
    <w:rsid w:val="007C017E"/>
    <w:rsid w:val="007C0EB0"/>
    <w:rsid w:val="007C21A5"/>
    <w:rsid w:val="007C2318"/>
    <w:rsid w:val="007C2E0A"/>
    <w:rsid w:val="007C2E4A"/>
    <w:rsid w:val="007C377F"/>
    <w:rsid w:val="007C7DA6"/>
    <w:rsid w:val="007D09CA"/>
    <w:rsid w:val="007D2EA5"/>
    <w:rsid w:val="007D2F1C"/>
    <w:rsid w:val="007D368D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38FF"/>
    <w:rsid w:val="007E4473"/>
    <w:rsid w:val="007E56C5"/>
    <w:rsid w:val="007F4B87"/>
    <w:rsid w:val="007F4F34"/>
    <w:rsid w:val="007F530A"/>
    <w:rsid w:val="007F5705"/>
    <w:rsid w:val="007F7205"/>
    <w:rsid w:val="008006AD"/>
    <w:rsid w:val="008015A8"/>
    <w:rsid w:val="00801FEF"/>
    <w:rsid w:val="00802B68"/>
    <w:rsid w:val="0080325A"/>
    <w:rsid w:val="00804DD2"/>
    <w:rsid w:val="00804DEE"/>
    <w:rsid w:val="0080544A"/>
    <w:rsid w:val="00807D58"/>
    <w:rsid w:val="00815E62"/>
    <w:rsid w:val="0082256D"/>
    <w:rsid w:val="00822681"/>
    <w:rsid w:val="00822FE9"/>
    <w:rsid w:val="00825944"/>
    <w:rsid w:val="00826810"/>
    <w:rsid w:val="00827F42"/>
    <w:rsid w:val="0083050C"/>
    <w:rsid w:val="00830628"/>
    <w:rsid w:val="008315E7"/>
    <w:rsid w:val="00832014"/>
    <w:rsid w:val="00832042"/>
    <w:rsid w:val="00832E90"/>
    <w:rsid w:val="00834222"/>
    <w:rsid w:val="00834420"/>
    <w:rsid w:val="00834569"/>
    <w:rsid w:val="00842B93"/>
    <w:rsid w:val="00845196"/>
    <w:rsid w:val="008459EE"/>
    <w:rsid w:val="00846BA1"/>
    <w:rsid w:val="00846F03"/>
    <w:rsid w:val="008515DC"/>
    <w:rsid w:val="00851D49"/>
    <w:rsid w:val="00852D44"/>
    <w:rsid w:val="00853663"/>
    <w:rsid w:val="00854CC0"/>
    <w:rsid w:val="0085615E"/>
    <w:rsid w:val="0085644D"/>
    <w:rsid w:val="00856D64"/>
    <w:rsid w:val="00856F3E"/>
    <w:rsid w:val="008572E6"/>
    <w:rsid w:val="0085777D"/>
    <w:rsid w:val="0086330B"/>
    <w:rsid w:val="00864100"/>
    <w:rsid w:val="008705CC"/>
    <w:rsid w:val="00870E8D"/>
    <w:rsid w:val="008715D5"/>
    <w:rsid w:val="00875863"/>
    <w:rsid w:val="0087595B"/>
    <w:rsid w:val="008778E5"/>
    <w:rsid w:val="00881DB9"/>
    <w:rsid w:val="00881EF7"/>
    <w:rsid w:val="00882C4C"/>
    <w:rsid w:val="00884CAD"/>
    <w:rsid w:val="00884DD6"/>
    <w:rsid w:val="008855F0"/>
    <w:rsid w:val="008869A9"/>
    <w:rsid w:val="00890103"/>
    <w:rsid w:val="008901E5"/>
    <w:rsid w:val="008918CC"/>
    <w:rsid w:val="008930B2"/>
    <w:rsid w:val="00895DD5"/>
    <w:rsid w:val="00896B26"/>
    <w:rsid w:val="00896CB8"/>
    <w:rsid w:val="008A065A"/>
    <w:rsid w:val="008A0A44"/>
    <w:rsid w:val="008A0B63"/>
    <w:rsid w:val="008A182F"/>
    <w:rsid w:val="008A1D1C"/>
    <w:rsid w:val="008A2598"/>
    <w:rsid w:val="008A492B"/>
    <w:rsid w:val="008A4D31"/>
    <w:rsid w:val="008A5898"/>
    <w:rsid w:val="008A7D86"/>
    <w:rsid w:val="008B0A72"/>
    <w:rsid w:val="008B42F8"/>
    <w:rsid w:val="008B4349"/>
    <w:rsid w:val="008B55E9"/>
    <w:rsid w:val="008B60BF"/>
    <w:rsid w:val="008B7CEE"/>
    <w:rsid w:val="008C11CB"/>
    <w:rsid w:val="008C1D87"/>
    <w:rsid w:val="008C25D0"/>
    <w:rsid w:val="008C2C27"/>
    <w:rsid w:val="008C31B4"/>
    <w:rsid w:val="008C412E"/>
    <w:rsid w:val="008C50B4"/>
    <w:rsid w:val="008C753C"/>
    <w:rsid w:val="008D01C5"/>
    <w:rsid w:val="008D3E93"/>
    <w:rsid w:val="008D4236"/>
    <w:rsid w:val="008D6323"/>
    <w:rsid w:val="008D6BA1"/>
    <w:rsid w:val="008D7E14"/>
    <w:rsid w:val="008E0D64"/>
    <w:rsid w:val="008E259A"/>
    <w:rsid w:val="008E59BA"/>
    <w:rsid w:val="008F1125"/>
    <w:rsid w:val="008F1C78"/>
    <w:rsid w:val="008F3402"/>
    <w:rsid w:val="008F4740"/>
    <w:rsid w:val="008F5DDF"/>
    <w:rsid w:val="008F6E3C"/>
    <w:rsid w:val="008F7270"/>
    <w:rsid w:val="008F7B5E"/>
    <w:rsid w:val="008F7BEA"/>
    <w:rsid w:val="00901C3E"/>
    <w:rsid w:val="00902668"/>
    <w:rsid w:val="00902867"/>
    <w:rsid w:val="00905C1D"/>
    <w:rsid w:val="0091030B"/>
    <w:rsid w:val="00910D2D"/>
    <w:rsid w:val="00916014"/>
    <w:rsid w:val="009164C6"/>
    <w:rsid w:val="009172CF"/>
    <w:rsid w:val="00917BC0"/>
    <w:rsid w:val="00920B7B"/>
    <w:rsid w:val="00923437"/>
    <w:rsid w:val="00924D3E"/>
    <w:rsid w:val="00926282"/>
    <w:rsid w:val="00930322"/>
    <w:rsid w:val="00931246"/>
    <w:rsid w:val="00932376"/>
    <w:rsid w:val="009338DB"/>
    <w:rsid w:val="00935F4F"/>
    <w:rsid w:val="009412F2"/>
    <w:rsid w:val="009415E1"/>
    <w:rsid w:val="00941794"/>
    <w:rsid w:val="00942098"/>
    <w:rsid w:val="0094220E"/>
    <w:rsid w:val="00942809"/>
    <w:rsid w:val="009450DE"/>
    <w:rsid w:val="00953147"/>
    <w:rsid w:val="009533C0"/>
    <w:rsid w:val="009550D7"/>
    <w:rsid w:val="00956534"/>
    <w:rsid w:val="00956E25"/>
    <w:rsid w:val="009607F6"/>
    <w:rsid w:val="00961EFC"/>
    <w:rsid w:val="00962B48"/>
    <w:rsid w:val="009659C9"/>
    <w:rsid w:val="00965EB1"/>
    <w:rsid w:val="00970D94"/>
    <w:rsid w:val="009723C5"/>
    <w:rsid w:val="00972F84"/>
    <w:rsid w:val="009732F4"/>
    <w:rsid w:val="009743A2"/>
    <w:rsid w:val="00975999"/>
    <w:rsid w:val="00975B9B"/>
    <w:rsid w:val="00975DB4"/>
    <w:rsid w:val="00976AAD"/>
    <w:rsid w:val="009806AC"/>
    <w:rsid w:val="009818C2"/>
    <w:rsid w:val="009829BE"/>
    <w:rsid w:val="00982BF2"/>
    <w:rsid w:val="00986B50"/>
    <w:rsid w:val="00992969"/>
    <w:rsid w:val="0099339C"/>
    <w:rsid w:val="00993A0F"/>
    <w:rsid w:val="00994548"/>
    <w:rsid w:val="009948F6"/>
    <w:rsid w:val="00996E2A"/>
    <w:rsid w:val="00997F0F"/>
    <w:rsid w:val="009A095D"/>
    <w:rsid w:val="009A1430"/>
    <w:rsid w:val="009A1B95"/>
    <w:rsid w:val="009A1CA7"/>
    <w:rsid w:val="009A1E41"/>
    <w:rsid w:val="009A2B25"/>
    <w:rsid w:val="009A3C32"/>
    <w:rsid w:val="009A5C72"/>
    <w:rsid w:val="009A6026"/>
    <w:rsid w:val="009A656E"/>
    <w:rsid w:val="009A6BF9"/>
    <w:rsid w:val="009A7F72"/>
    <w:rsid w:val="009B019E"/>
    <w:rsid w:val="009B38CF"/>
    <w:rsid w:val="009B3C2A"/>
    <w:rsid w:val="009B4BDA"/>
    <w:rsid w:val="009B6280"/>
    <w:rsid w:val="009B6920"/>
    <w:rsid w:val="009B6D22"/>
    <w:rsid w:val="009B6EA0"/>
    <w:rsid w:val="009C16BD"/>
    <w:rsid w:val="009C1CC8"/>
    <w:rsid w:val="009C2E01"/>
    <w:rsid w:val="009C48BC"/>
    <w:rsid w:val="009C4F37"/>
    <w:rsid w:val="009C5AB0"/>
    <w:rsid w:val="009D0471"/>
    <w:rsid w:val="009D113D"/>
    <w:rsid w:val="009D15FB"/>
    <w:rsid w:val="009D1F98"/>
    <w:rsid w:val="009D2400"/>
    <w:rsid w:val="009D2543"/>
    <w:rsid w:val="009D5237"/>
    <w:rsid w:val="009D730B"/>
    <w:rsid w:val="009D757B"/>
    <w:rsid w:val="009E0F7F"/>
    <w:rsid w:val="009E2546"/>
    <w:rsid w:val="009E2D60"/>
    <w:rsid w:val="009E6006"/>
    <w:rsid w:val="009E62A7"/>
    <w:rsid w:val="009E6E91"/>
    <w:rsid w:val="009E7412"/>
    <w:rsid w:val="009E7C6B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1AE"/>
    <w:rsid w:val="00A04228"/>
    <w:rsid w:val="00A0458F"/>
    <w:rsid w:val="00A07211"/>
    <w:rsid w:val="00A128EA"/>
    <w:rsid w:val="00A147D6"/>
    <w:rsid w:val="00A16070"/>
    <w:rsid w:val="00A16391"/>
    <w:rsid w:val="00A16A9F"/>
    <w:rsid w:val="00A175C0"/>
    <w:rsid w:val="00A21471"/>
    <w:rsid w:val="00A22075"/>
    <w:rsid w:val="00A2207D"/>
    <w:rsid w:val="00A2328D"/>
    <w:rsid w:val="00A266DE"/>
    <w:rsid w:val="00A26B40"/>
    <w:rsid w:val="00A279B0"/>
    <w:rsid w:val="00A31FDF"/>
    <w:rsid w:val="00A33480"/>
    <w:rsid w:val="00A34539"/>
    <w:rsid w:val="00A34DCD"/>
    <w:rsid w:val="00A35DB3"/>
    <w:rsid w:val="00A3605D"/>
    <w:rsid w:val="00A3630B"/>
    <w:rsid w:val="00A36F7D"/>
    <w:rsid w:val="00A41537"/>
    <w:rsid w:val="00A41EEC"/>
    <w:rsid w:val="00A4292A"/>
    <w:rsid w:val="00A436A3"/>
    <w:rsid w:val="00A44734"/>
    <w:rsid w:val="00A47477"/>
    <w:rsid w:val="00A51404"/>
    <w:rsid w:val="00A51F28"/>
    <w:rsid w:val="00A52080"/>
    <w:rsid w:val="00A5350F"/>
    <w:rsid w:val="00A53978"/>
    <w:rsid w:val="00A549B4"/>
    <w:rsid w:val="00A5638B"/>
    <w:rsid w:val="00A57161"/>
    <w:rsid w:val="00A57984"/>
    <w:rsid w:val="00A61403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8511A"/>
    <w:rsid w:val="00A860A0"/>
    <w:rsid w:val="00A93232"/>
    <w:rsid w:val="00A9385F"/>
    <w:rsid w:val="00A93ACC"/>
    <w:rsid w:val="00A943A8"/>
    <w:rsid w:val="00A94AEC"/>
    <w:rsid w:val="00A97DCA"/>
    <w:rsid w:val="00AA0BBA"/>
    <w:rsid w:val="00AA1546"/>
    <w:rsid w:val="00AA2EF8"/>
    <w:rsid w:val="00AA36EE"/>
    <w:rsid w:val="00AA51B0"/>
    <w:rsid w:val="00AA54CE"/>
    <w:rsid w:val="00AA5C25"/>
    <w:rsid w:val="00AA7988"/>
    <w:rsid w:val="00AB09AE"/>
    <w:rsid w:val="00AB2B74"/>
    <w:rsid w:val="00AB409F"/>
    <w:rsid w:val="00AB4F79"/>
    <w:rsid w:val="00AB68FB"/>
    <w:rsid w:val="00AB71AF"/>
    <w:rsid w:val="00AC06FA"/>
    <w:rsid w:val="00AC136D"/>
    <w:rsid w:val="00AC22D8"/>
    <w:rsid w:val="00AC366B"/>
    <w:rsid w:val="00AC426B"/>
    <w:rsid w:val="00AC5CDC"/>
    <w:rsid w:val="00AC6D66"/>
    <w:rsid w:val="00AC78F7"/>
    <w:rsid w:val="00AD332C"/>
    <w:rsid w:val="00AD38D3"/>
    <w:rsid w:val="00AD689A"/>
    <w:rsid w:val="00AD759C"/>
    <w:rsid w:val="00AE0D75"/>
    <w:rsid w:val="00AE1287"/>
    <w:rsid w:val="00AE1D53"/>
    <w:rsid w:val="00AE4ED6"/>
    <w:rsid w:val="00AE4FD2"/>
    <w:rsid w:val="00AE591E"/>
    <w:rsid w:val="00AE5B9A"/>
    <w:rsid w:val="00AE6B84"/>
    <w:rsid w:val="00AE755B"/>
    <w:rsid w:val="00AF044D"/>
    <w:rsid w:val="00AF1C72"/>
    <w:rsid w:val="00AF4F58"/>
    <w:rsid w:val="00AF52DF"/>
    <w:rsid w:val="00AF6CFB"/>
    <w:rsid w:val="00AF72E2"/>
    <w:rsid w:val="00B0223B"/>
    <w:rsid w:val="00B031B2"/>
    <w:rsid w:val="00B058F3"/>
    <w:rsid w:val="00B05BF3"/>
    <w:rsid w:val="00B12910"/>
    <w:rsid w:val="00B16DD8"/>
    <w:rsid w:val="00B17A25"/>
    <w:rsid w:val="00B20869"/>
    <w:rsid w:val="00B2503D"/>
    <w:rsid w:val="00B256C5"/>
    <w:rsid w:val="00B26A11"/>
    <w:rsid w:val="00B314FC"/>
    <w:rsid w:val="00B3162F"/>
    <w:rsid w:val="00B334F4"/>
    <w:rsid w:val="00B3364B"/>
    <w:rsid w:val="00B357CE"/>
    <w:rsid w:val="00B35FF2"/>
    <w:rsid w:val="00B3631A"/>
    <w:rsid w:val="00B37331"/>
    <w:rsid w:val="00B40A3F"/>
    <w:rsid w:val="00B40C5C"/>
    <w:rsid w:val="00B42504"/>
    <w:rsid w:val="00B435C0"/>
    <w:rsid w:val="00B44088"/>
    <w:rsid w:val="00B440E6"/>
    <w:rsid w:val="00B44BDD"/>
    <w:rsid w:val="00B45525"/>
    <w:rsid w:val="00B47955"/>
    <w:rsid w:val="00B50A27"/>
    <w:rsid w:val="00B53E37"/>
    <w:rsid w:val="00B5525D"/>
    <w:rsid w:val="00B57289"/>
    <w:rsid w:val="00B5756B"/>
    <w:rsid w:val="00B62325"/>
    <w:rsid w:val="00B62BD4"/>
    <w:rsid w:val="00B64CFD"/>
    <w:rsid w:val="00B66150"/>
    <w:rsid w:val="00B67407"/>
    <w:rsid w:val="00B70501"/>
    <w:rsid w:val="00B70977"/>
    <w:rsid w:val="00B71590"/>
    <w:rsid w:val="00B71E71"/>
    <w:rsid w:val="00B726F7"/>
    <w:rsid w:val="00B741C0"/>
    <w:rsid w:val="00B76254"/>
    <w:rsid w:val="00B76F37"/>
    <w:rsid w:val="00B77226"/>
    <w:rsid w:val="00B81117"/>
    <w:rsid w:val="00B8170E"/>
    <w:rsid w:val="00B82B8D"/>
    <w:rsid w:val="00B830A0"/>
    <w:rsid w:val="00B84370"/>
    <w:rsid w:val="00B84BD7"/>
    <w:rsid w:val="00B855E7"/>
    <w:rsid w:val="00B85EDB"/>
    <w:rsid w:val="00B8616E"/>
    <w:rsid w:val="00B87681"/>
    <w:rsid w:val="00B8770C"/>
    <w:rsid w:val="00B907E8"/>
    <w:rsid w:val="00B90F2C"/>
    <w:rsid w:val="00B92C5B"/>
    <w:rsid w:val="00B94EF2"/>
    <w:rsid w:val="00B95C8B"/>
    <w:rsid w:val="00B95C9B"/>
    <w:rsid w:val="00BA19E5"/>
    <w:rsid w:val="00BA3D2E"/>
    <w:rsid w:val="00BA4B74"/>
    <w:rsid w:val="00BA5425"/>
    <w:rsid w:val="00BA637B"/>
    <w:rsid w:val="00BA6A3F"/>
    <w:rsid w:val="00BA7350"/>
    <w:rsid w:val="00BB12B6"/>
    <w:rsid w:val="00BB17CB"/>
    <w:rsid w:val="00BB1AAE"/>
    <w:rsid w:val="00BB23A9"/>
    <w:rsid w:val="00BB3EDB"/>
    <w:rsid w:val="00BB4339"/>
    <w:rsid w:val="00BB5416"/>
    <w:rsid w:val="00BB7637"/>
    <w:rsid w:val="00BC0626"/>
    <w:rsid w:val="00BC18F8"/>
    <w:rsid w:val="00BC22A6"/>
    <w:rsid w:val="00BC2528"/>
    <w:rsid w:val="00BC2A5D"/>
    <w:rsid w:val="00BC2FC6"/>
    <w:rsid w:val="00BC56AF"/>
    <w:rsid w:val="00BC5C64"/>
    <w:rsid w:val="00BC7A9B"/>
    <w:rsid w:val="00BD0358"/>
    <w:rsid w:val="00BD239F"/>
    <w:rsid w:val="00BD2BDD"/>
    <w:rsid w:val="00BD378E"/>
    <w:rsid w:val="00BD4188"/>
    <w:rsid w:val="00BD5F9E"/>
    <w:rsid w:val="00BD6620"/>
    <w:rsid w:val="00BD6A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BEF"/>
    <w:rsid w:val="00BE7C6B"/>
    <w:rsid w:val="00BF0EDE"/>
    <w:rsid w:val="00BF10B0"/>
    <w:rsid w:val="00BF182C"/>
    <w:rsid w:val="00BF2A5A"/>
    <w:rsid w:val="00BF2E1D"/>
    <w:rsid w:val="00BF2FDD"/>
    <w:rsid w:val="00BF45D8"/>
    <w:rsid w:val="00BF513C"/>
    <w:rsid w:val="00BF5C86"/>
    <w:rsid w:val="00BF5F48"/>
    <w:rsid w:val="00BF7669"/>
    <w:rsid w:val="00C0103A"/>
    <w:rsid w:val="00C0119B"/>
    <w:rsid w:val="00C02309"/>
    <w:rsid w:val="00C02BDE"/>
    <w:rsid w:val="00C02C4B"/>
    <w:rsid w:val="00C02DCF"/>
    <w:rsid w:val="00C04A6B"/>
    <w:rsid w:val="00C13B0B"/>
    <w:rsid w:val="00C15CD6"/>
    <w:rsid w:val="00C238AF"/>
    <w:rsid w:val="00C246E7"/>
    <w:rsid w:val="00C25C1C"/>
    <w:rsid w:val="00C25FBA"/>
    <w:rsid w:val="00C26789"/>
    <w:rsid w:val="00C27F6F"/>
    <w:rsid w:val="00C335E7"/>
    <w:rsid w:val="00C33B17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76B7"/>
    <w:rsid w:val="00C57DFD"/>
    <w:rsid w:val="00C6112D"/>
    <w:rsid w:val="00C611DE"/>
    <w:rsid w:val="00C63209"/>
    <w:rsid w:val="00C64385"/>
    <w:rsid w:val="00C656C3"/>
    <w:rsid w:val="00C657DA"/>
    <w:rsid w:val="00C71727"/>
    <w:rsid w:val="00C73107"/>
    <w:rsid w:val="00C735F3"/>
    <w:rsid w:val="00C752E4"/>
    <w:rsid w:val="00C7679A"/>
    <w:rsid w:val="00C77FA0"/>
    <w:rsid w:val="00C803E7"/>
    <w:rsid w:val="00C81270"/>
    <w:rsid w:val="00C8314D"/>
    <w:rsid w:val="00C84391"/>
    <w:rsid w:val="00C84ACF"/>
    <w:rsid w:val="00C84B20"/>
    <w:rsid w:val="00C85E3B"/>
    <w:rsid w:val="00C872C2"/>
    <w:rsid w:val="00C91239"/>
    <w:rsid w:val="00C925E7"/>
    <w:rsid w:val="00C93FE6"/>
    <w:rsid w:val="00C9548A"/>
    <w:rsid w:val="00C9582F"/>
    <w:rsid w:val="00C961BC"/>
    <w:rsid w:val="00C97753"/>
    <w:rsid w:val="00CA0C29"/>
    <w:rsid w:val="00CA231E"/>
    <w:rsid w:val="00CA2B23"/>
    <w:rsid w:val="00CA3982"/>
    <w:rsid w:val="00CA4FF3"/>
    <w:rsid w:val="00CA6285"/>
    <w:rsid w:val="00CA6619"/>
    <w:rsid w:val="00CA67B2"/>
    <w:rsid w:val="00CA6C36"/>
    <w:rsid w:val="00CB00DB"/>
    <w:rsid w:val="00CB044C"/>
    <w:rsid w:val="00CB194F"/>
    <w:rsid w:val="00CB1B2B"/>
    <w:rsid w:val="00CB1D5F"/>
    <w:rsid w:val="00CB2E57"/>
    <w:rsid w:val="00CB41FB"/>
    <w:rsid w:val="00CB558E"/>
    <w:rsid w:val="00CB66B3"/>
    <w:rsid w:val="00CC017B"/>
    <w:rsid w:val="00CC0E6F"/>
    <w:rsid w:val="00CC25B8"/>
    <w:rsid w:val="00CC2B6B"/>
    <w:rsid w:val="00CC52F8"/>
    <w:rsid w:val="00CC559E"/>
    <w:rsid w:val="00CC7597"/>
    <w:rsid w:val="00CD2631"/>
    <w:rsid w:val="00CD331B"/>
    <w:rsid w:val="00CD3584"/>
    <w:rsid w:val="00CD41D6"/>
    <w:rsid w:val="00CD6462"/>
    <w:rsid w:val="00CD6ECD"/>
    <w:rsid w:val="00CE0BD3"/>
    <w:rsid w:val="00CE125D"/>
    <w:rsid w:val="00CE15BB"/>
    <w:rsid w:val="00CE2913"/>
    <w:rsid w:val="00CF29E8"/>
    <w:rsid w:val="00CF2D90"/>
    <w:rsid w:val="00CF38C0"/>
    <w:rsid w:val="00CF5C90"/>
    <w:rsid w:val="00CF6A1A"/>
    <w:rsid w:val="00D02C1F"/>
    <w:rsid w:val="00D02F1F"/>
    <w:rsid w:val="00D02F5D"/>
    <w:rsid w:val="00D0417B"/>
    <w:rsid w:val="00D12E26"/>
    <w:rsid w:val="00D1317F"/>
    <w:rsid w:val="00D13D93"/>
    <w:rsid w:val="00D146B9"/>
    <w:rsid w:val="00D14CF8"/>
    <w:rsid w:val="00D173FE"/>
    <w:rsid w:val="00D1781B"/>
    <w:rsid w:val="00D213F0"/>
    <w:rsid w:val="00D214B0"/>
    <w:rsid w:val="00D219C7"/>
    <w:rsid w:val="00D21D49"/>
    <w:rsid w:val="00D2268D"/>
    <w:rsid w:val="00D233E4"/>
    <w:rsid w:val="00D24BD7"/>
    <w:rsid w:val="00D2525F"/>
    <w:rsid w:val="00D25FD8"/>
    <w:rsid w:val="00D261B5"/>
    <w:rsid w:val="00D26344"/>
    <w:rsid w:val="00D27CC4"/>
    <w:rsid w:val="00D302EC"/>
    <w:rsid w:val="00D31ABB"/>
    <w:rsid w:val="00D340F8"/>
    <w:rsid w:val="00D3721C"/>
    <w:rsid w:val="00D372D1"/>
    <w:rsid w:val="00D37995"/>
    <w:rsid w:val="00D4096E"/>
    <w:rsid w:val="00D42586"/>
    <w:rsid w:val="00D451FC"/>
    <w:rsid w:val="00D53F48"/>
    <w:rsid w:val="00D54D90"/>
    <w:rsid w:val="00D57149"/>
    <w:rsid w:val="00D61539"/>
    <w:rsid w:val="00D62BB4"/>
    <w:rsid w:val="00D63B93"/>
    <w:rsid w:val="00D63CFD"/>
    <w:rsid w:val="00D700FA"/>
    <w:rsid w:val="00D7079C"/>
    <w:rsid w:val="00D72614"/>
    <w:rsid w:val="00D72975"/>
    <w:rsid w:val="00D72D6B"/>
    <w:rsid w:val="00D73CAF"/>
    <w:rsid w:val="00D7597F"/>
    <w:rsid w:val="00D75CAC"/>
    <w:rsid w:val="00D76516"/>
    <w:rsid w:val="00D76860"/>
    <w:rsid w:val="00D77E8D"/>
    <w:rsid w:val="00D80703"/>
    <w:rsid w:val="00D8107E"/>
    <w:rsid w:val="00D81864"/>
    <w:rsid w:val="00D833B7"/>
    <w:rsid w:val="00D83BA2"/>
    <w:rsid w:val="00D84EC0"/>
    <w:rsid w:val="00D85235"/>
    <w:rsid w:val="00D85776"/>
    <w:rsid w:val="00D85B79"/>
    <w:rsid w:val="00D85C31"/>
    <w:rsid w:val="00D87DC1"/>
    <w:rsid w:val="00D91ED3"/>
    <w:rsid w:val="00D92009"/>
    <w:rsid w:val="00D92383"/>
    <w:rsid w:val="00D94ABF"/>
    <w:rsid w:val="00D95617"/>
    <w:rsid w:val="00D95A1A"/>
    <w:rsid w:val="00D9772D"/>
    <w:rsid w:val="00DA2721"/>
    <w:rsid w:val="00DA3011"/>
    <w:rsid w:val="00DA50B7"/>
    <w:rsid w:val="00DA5820"/>
    <w:rsid w:val="00DB061C"/>
    <w:rsid w:val="00DB0B68"/>
    <w:rsid w:val="00DB28EA"/>
    <w:rsid w:val="00DB3BCF"/>
    <w:rsid w:val="00DB419E"/>
    <w:rsid w:val="00DB4215"/>
    <w:rsid w:val="00DB4B88"/>
    <w:rsid w:val="00DB5096"/>
    <w:rsid w:val="00DB53CE"/>
    <w:rsid w:val="00DB625F"/>
    <w:rsid w:val="00DB6496"/>
    <w:rsid w:val="00DB64D6"/>
    <w:rsid w:val="00DB7252"/>
    <w:rsid w:val="00DB73BD"/>
    <w:rsid w:val="00DC3D1B"/>
    <w:rsid w:val="00DD0FD9"/>
    <w:rsid w:val="00DD1996"/>
    <w:rsid w:val="00DD21B3"/>
    <w:rsid w:val="00DD2482"/>
    <w:rsid w:val="00DD27BE"/>
    <w:rsid w:val="00DD507F"/>
    <w:rsid w:val="00DD5333"/>
    <w:rsid w:val="00DD57F6"/>
    <w:rsid w:val="00DD5923"/>
    <w:rsid w:val="00DD7ADF"/>
    <w:rsid w:val="00DD7F5E"/>
    <w:rsid w:val="00DE0714"/>
    <w:rsid w:val="00DE545D"/>
    <w:rsid w:val="00DE6DE5"/>
    <w:rsid w:val="00DF058B"/>
    <w:rsid w:val="00DF18EA"/>
    <w:rsid w:val="00DF1D28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144A0"/>
    <w:rsid w:val="00E15CB5"/>
    <w:rsid w:val="00E16B95"/>
    <w:rsid w:val="00E16E05"/>
    <w:rsid w:val="00E20502"/>
    <w:rsid w:val="00E25FAD"/>
    <w:rsid w:val="00E3024C"/>
    <w:rsid w:val="00E31C27"/>
    <w:rsid w:val="00E35EBF"/>
    <w:rsid w:val="00E36D95"/>
    <w:rsid w:val="00E37509"/>
    <w:rsid w:val="00E37C62"/>
    <w:rsid w:val="00E403A3"/>
    <w:rsid w:val="00E4090A"/>
    <w:rsid w:val="00E44207"/>
    <w:rsid w:val="00E45513"/>
    <w:rsid w:val="00E47202"/>
    <w:rsid w:val="00E474AB"/>
    <w:rsid w:val="00E47793"/>
    <w:rsid w:val="00E51023"/>
    <w:rsid w:val="00E52E4B"/>
    <w:rsid w:val="00E53653"/>
    <w:rsid w:val="00E53E39"/>
    <w:rsid w:val="00E54C04"/>
    <w:rsid w:val="00E55F96"/>
    <w:rsid w:val="00E616AE"/>
    <w:rsid w:val="00E6191A"/>
    <w:rsid w:val="00E61FB7"/>
    <w:rsid w:val="00E62567"/>
    <w:rsid w:val="00E62C87"/>
    <w:rsid w:val="00E64B16"/>
    <w:rsid w:val="00E65120"/>
    <w:rsid w:val="00E66007"/>
    <w:rsid w:val="00E700D6"/>
    <w:rsid w:val="00E70911"/>
    <w:rsid w:val="00E71394"/>
    <w:rsid w:val="00E72E16"/>
    <w:rsid w:val="00E74E26"/>
    <w:rsid w:val="00E759FD"/>
    <w:rsid w:val="00E76EF7"/>
    <w:rsid w:val="00E77E99"/>
    <w:rsid w:val="00E81DE9"/>
    <w:rsid w:val="00E829B5"/>
    <w:rsid w:val="00E832BA"/>
    <w:rsid w:val="00E83D62"/>
    <w:rsid w:val="00E85527"/>
    <w:rsid w:val="00E85E11"/>
    <w:rsid w:val="00E86BC1"/>
    <w:rsid w:val="00E879AA"/>
    <w:rsid w:val="00E91AAF"/>
    <w:rsid w:val="00E93C63"/>
    <w:rsid w:val="00E96DE5"/>
    <w:rsid w:val="00E976E3"/>
    <w:rsid w:val="00EA3630"/>
    <w:rsid w:val="00EA4E0D"/>
    <w:rsid w:val="00EA5BFB"/>
    <w:rsid w:val="00EA5CFD"/>
    <w:rsid w:val="00EA7894"/>
    <w:rsid w:val="00EA79B2"/>
    <w:rsid w:val="00EB2021"/>
    <w:rsid w:val="00EB3F25"/>
    <w:rsid w:val="00EB44E5"/>
    <w:rsid w:val="00EB62C2"/>
    <w:rsid w:val="00EB6B70"/>
    <w:rsid w:val="00EC034D"/>
    <w:rsid w:val="00EC1B42"/>
    <w:rsid w:val="00EC2EE4"/>
    <w:rsid w:val="00EC3344"/>
    <w:rsid w:val="00EC3994"/>
    <w:rsid w:val="00EC44BF"/>
    <w:rsid w:val="00EC6657"/>
    <w:rsid w:val="00EC7226"/>
    <w:rsid w:val="00EC74F9"/>
    <w:rsid w:val="00ED153D"/>
    <w:rsid w:val="00ED1AA1"/>
    <w:rsid w:val="00ED28BA"/>
    <w:rsid w:val="00ED3227"/>
    <w:rsid w:val="00ED3B20"/>
    <w:rsid w:val="00ED3B7F"/>
    <w:rsid w:val="00ED6D62"/>
    <w:rsid w:val="00ED7248"/>
    <w:rsid w:val="00EE0431"/>
    <w:rsid w:val="00EE0853"/>
    <w:rsid w:val="00EE2315"/>
    <w:rsid w:val="00EE33B1"/>
    <w:rsid w:val="00EE3854"/>
    <w:rsid w:val="00EE453E"/>
    <w:rsid w:val="00EE4624"/>
    <w:rsid w:val="00EE6E6B"/>
    <w:rsid w:val="00EE7552"/>
    <w:rsid w:val="00EE7D99"/>
    <w:rsid w:val="00EF040B"/>
    <w:rsid w:val="00EF0616"/>
    <w:rsid w:val="00EF073D"/>
    <w:rsid w:val="00EF2076"/>
    <w:rsid w:val="00EF3FCC"/>
    <w:rsid w:val="00EF410B"/>
    <w:rsid w:val="00EF488B"/>
    <w:rsid w:val="00EF5051"/>
    <w:rsid w:val="00EF53F6"/>
    <w:rsid w:val="00F02399"/>
    <w:rsid w:val="00F02678"/>
    <w:rsid w:val="00F0276F"/>
    <w:rsid w:val="00F0301D"/>
    <w:rsid w:val="00F0327D"/>
    <w:rsid w:val="00F040DC"/>
    <w:rsid w:val="00F072E9"/>
    <w:rsid w:val="00F113EE"/>
    <w:rsid w:val="00F1355B"/>
    <w:rsid w:val="00F13D11"/>
    <w:rsid w:val="00F142F9"/>
    <w:rsid w:val="00F23E0D"/>
    <w:rsid w:val="00F24661"/>
    <w:rsid w:val="00F25A4B"/>
    <w:rsid w:val="00F27354"/>
    <w:rsid w:val="00F27EA0"/>
    <w:rsid w:val="00F31E90"/>
    <w:rsid w:val="00F32B8D"/>
    <w:rsid w:val="00F35525"/>
    <w:rsid w:val="00F357D6"/>
    <w:rsid w:val="00F41883"/>
    <w:rsid w:val="00F41A72"/>
    <w:rsid w:val="00F43330"/>
    <w:rsid w:val="00F43F2B"/>
    <w:rsid w:val="00F44585"/>
    <w:rsid w:val="00F44ED4"/>
    <w:rsid w:val="00F47204"/>
    <w:rsid w:val="00F50DC6"/>
    <w:rsid w:val="00F5190F"/>
    <w:rsid w:val="00F51E2F"/>
    <w:rsid w:val="00F528CC"/>
    <w:rsid w:val="00F52EFA"/>
    <w:rsid w:val="00F538A8"/>
    <w:rsid w:val="00F54079"/>
    <w:rsid w:val="00F60346"/>
    <w:rsid w:val="00F62748"/>
    <w:rsid w:val="00F62FE9"/>
    <w:rsid w:val="00F64F25"/>
    <w:rsid w:val="00F658A8"/>
    <w:rsid w:val="00F66303"/>
    <w:rsid w:val="00F66DDC"/>
    <w:rsid w:val="00F67236"/>
    <w:rsid w:val="00F7313A"/>
    <w:rsid w:val="00F7568A"/>
    <w:rsid w:val="00F76404"/>
    <w:rsid w:val="00F76B4B"/>
    <w:rsid w:val="00F801C8"/>
    <w:rsid w:val="00F81138"/>
    <w:rsid w:val="00F82884"/>
    <w:rsid w:val="00F82F27"/>
    <w:rsid w:val="00F8397F"/>
    <w:rsid w:val="00F83DC8"/>
    <w:rsid w:val="00F85199"/>
    <w:rsid w:val="00F91F52"/>
    <w:rsid w:val="00F92226"/>
    <w:rsid w:val="00F92452"/>
    <w:rsid w:val="00F92DFC"/>
    <w:rsid w:val="00F940EB"/>
    <w:rsid w:val="00F94EC2"/>
    <w:rsid w:val="00F96916"/>
    <w:rsid w:val="00F9738B"/>
    <w:rsid w:val="00FA1BB2"/>
    <w:rsid w:val="00FA255C"/>
    <w:rsid w:val="00FA270F"/>
    <w:rsid w:val="00FA348D"/>
    <w:rsid w:val="00FA433E"/>
    <w:rsid w:val="00FA6893"/>
    <w:rsid w:val="00FB032D"/>
    <w:rsid w:val="00FB1D08"/>
    <w:rsid w:val="00FB23D4"/>
    <w:rsid w:val="00FB2CE3"/>
    <w:rsid w:val="00FB3590"/>
    <w:rsid w:val="00FB36DE"/>
    <w:rsid w:val="00FB4A95"/>
    <w:rsid w:val="00FB4C31"/>
    <w:rsid w:val="00FB4D5A"/>
    <w:rsid w:val="00FB5B76"/>
    <w:rsid w:val="00FB697B"/>
    <w:rsid w:val="00FB6A87"/>
    <w:rsid w:val="00FB7A9E"/>
    <w:rsid w:val="00FB7FE2"/>
    <w:rsid w:val="00FC311A"/>
    <w:rsid w:val="00FC3FED"/>
    <w:rsid w:val="00FC572C"/>
    <w:rsid w:val="00FC6D59"/>
    <w:rsid w:val="00FC7068"/>
    <w:rsid w:val="00FD07F8"/>
    <w:rsid w:val="00FD1EA7"/>
    <w:rsid w:val="00FD45F7"/>
    <w:rsid w:val="00FD4DC2"/>
    <w:rsid w:val="00FD5F30"/>
    <w:rsid w:val="00FD6790"/>
    <w:rsid w:val="00FD7522"/>
    <w:rsid w:val="00FE034E"/>
    <w:rsid w:val="00FE4176"/>
    <w:rsid w:val="00FE421A"/>
    <w:rsid w:val="00FE565A"/>
    <w:rsid w:val="00FE6BD9"/>
    <w:rsid w:val="00FF1116"/>
    <w:rsid w:val="00FF1634"/>
    <w:rsid w:val="00FF3586"/>
    <w:rsid w:val="00FF4461"/>
    <w:rsid w:val="00FF467E"/>
    <w:rsid w:val="00FF4929"/>
    <w:rsid w:val="00FF71CD"/>
    <w:rsid w:val="00FF728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FootnoteText">
    <w:name w:val="footnote text"/>
    <w:basedOn w:val="Normal"/>
    <w:link w:val="FootnoteTextChar"/>
    <w:uiPriority w:val="99"/>
    <w:unhideWhenUsed/>
    <w:rsid w:val="00482F53"/>
  </w:style>
  <w:style w:type="character" w:customStyle="1" w:styleId="FootnoteTextChar">
    <w:name w:val="Footnote Text Char"/>
    <w:basedOn w:val="DefaultParagraphFont"/>
    <w:link w:val="FootnoteText"/>
    <w:uiPriority w:val="99"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482F5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722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EndnoteReference">
    <w:name w:val="endnote reference"/>
    <w:basedOn w:val="DefaultParagraphFont"/>
    <w:uiPriority w:val="99"/>
    <w:semiHidden/>
    <w:unhideWhenUsed/>
    <w:rsid w:val="00EC7226"/>
    <w:rPr>
      <w:vertAlign w:val="superscript"/>
    </w:rPr>
  </w:style>
  <w:style w:type="table" w:styleId="TableGrid">
    <w:name w:val="Table Grid"/>
    <w:basedOn w:val="TableNormal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9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Title">
    <w:name w:val="Title"/>
    <w:basedOn w:val="Normal"/>
    <w:next w:val="Normal"/>
    <w:link w:val="TitleChar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DB6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496"/>
  </w:style>
  <w:style w:type="character" w:customStyle="1" w:styleId="CommentTextChar">
    <w:name w:val="Comment Text Char"/>
    <w:basedOn w:val="DefaultParagraphFont"/>
    <w:link w:val="CommentText"/>
    <w:uiPriority w:val="99"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character" w:styleId="Hyperlink">
    <w:name w:val="Hyperlink"/>
    <w:basedOn w:val="DefaultParagraphFont"/>
    <w:uiPriority w:val="99"/>
    <w:unhideWhenUsed/>
    <w:rsid w:val="004048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38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638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4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292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file:///C:\Users\u987\AppData\Local\Microsoft\Windows\INetCache\Content.MSO\4867AE6D.xls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i.org.il/publications/regularpublications/statistic_bulletin/bulletin2024/" TargetMode="External"/><Relationship Id="rId1" Type="http://schemas.openxmlformats.org/officeDocument/2006/relationships/hyperlink" Target="https://www.boi.org.il/publications/regularpublications/statistic_bulletin/bulletin2024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2DF7-CB4F-49FE-97F6-AF0BF6B5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</Words>
  <Characters>3997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2025-03-20T11:39:00Z</dcterms:created>
  <dcterms:modified xsi:type="dcterms:W3CDTF">2025-03-20T11:39:00Z</dcterms:modified>
</cp:coreProperties>
</file>