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CE07AA" w:rsidTr="0029736D">
        <w:tc>
          <w:tcPr>
            <w:tcW w:w="3343" w:type="dxa"/>
            <w:tcBorders>
              <w:top w:val="nil"/>
              <w:left w:val="nil"/>
              <w:bottom w:val="nil"/>
              <w:right w:val="nil"/>
            </w:tcBorders>
            <w:vAlign w:val="center"/>
          </w:tcPr>
          <w:p w:rsidR="009005BA" w:rsidRPr="00CE07AA" w:rsidRDefault="009005BA" w:rsidP="0029736D">
            <w:pPr>
              <w:rPr>
                <w:rFonts w:ascii="Calibri" w:hAnsi="Calibri" w:cs="Calibri"/>
                <w:b/>
                <w:bCs/>
                <w:sz w:val="24"/>
                <w:szCs w:val="24"/>
                <w:rtl/>
              </w:rPr>
            </w:pPr>
            <w:r w:rsidRPr="00CE07AA">
              <w:rPr>
                <w:rFonts w:ascii="Calibri" w:hAnsi="Calibri" w:cs="Calibri"/>
                <w:b/>
                <w:bCs/>
                <w:sz w:val="24"/>
                <w:szCs w:val="24"/>
                <w:rtl/>
              </w:rPr>
              <w:t>בנק ישראל</w:t>
            </w:r>
          </w:p>
          <w:p w:rsidR="009005BA" w:rsidRPr="00CE07AA" w:rsidRDefault="009005BA" w:rsidP="0029736D">
            <w:pPr>
              <w:rPr>
                <w:rFonts w:ascii="Calibri" w:hAnsi="Calibri" w:cs="Calibri"/>
                <w:b/>
                <w:bCs/>
                <w:sz w:val="28"/>
                <w:szCs w:val="28"/>
              </w:rPr>
            </w:pPr>
            <w:r w:rsidRPr="00CE07AA">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CE07AA" w:rsidRDefault="009005BA" w:rsidP="0029736D">
            <w:pPr>
              <w:jc w:val="center"/>
              <w:rPr>
                <w:rFonts w:ascii="Calibri" w:hAnsi="Calibri" w:cs="Calibri"/>
              </w:rPr>
            </w:pPr>
            <w:r w:rsidRPr="00CE07AA">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CE07AA" w:rsidRDefault="009005BA" w:rsidP="009005BA">
            <w:pPr>
              <w:jc w:val="right"/>
              <w:rPr>
                <w:rFonts w:ascii="Calibri" w:hAnsi="Calibri" w:cs="Calibri"/>
                <w:rtl/>
              </w:rPr>
            </w:pPr>
            <w:r w:rsidRPr="00CE07AA">
              <w:rPr>
                <w:rFonts w:ascii="Calibri" w:hAnsi="Calibri" w:cs="Calibri"/>
                <w:highlight w:val="green"/>
                <w:rtl/>
              </w:rPr>
              <w:t>‏</w:t>
            </w:r>
            <w:r w:rsidRPr="00CE07AA">
              <w:rPr>
                <w:rFonts w:ascii="Calibri" w:hAnsi="Calibri" w:cs="Calibri"/>
                <w:rtl/>
              </w:rPr>
              <w:t xml:space="preserve">ירושלים, </w:t>
            </w:r>
            <w:r w:rsidRPr="00CE07AA">
              <w:rPr>
                <w:rFonts w:ascii="Calibri" w:hAnsi="Calibri" w:cs="Calibri"/>
                <w:rtl/>
              </w:rPr>
              <w:fldChar w:fldCharType="begin"/>
            </w:r>
            <w:r w:rsidRPr="00CE07AA">
              <w:rPr>
                <w:rFonts w:ascii="Calibri" w:hAnsi="Calibri" w:cs="Calibri"/>
                <w:rtl/>
              </w:rPr>
              <w:instrText xml:space="preserve"> </w:instrText>
            </w:r>
            <w:r w:rsidRPr="00CE07AA">
              <w:rPr>
                <w:rFonts w:ascii="Calibri" w:hAnsi="Calibri" w:cs="Calibri"/>
              </w:rPr>
              <w:instrText>DATE</w:instrText>
            </w:r>
            <w:r w:rsidRPr="00CE07AA">
              <w:rPr>
                <w:rFonts w:ascii="Calibri" w:hAnsi="Calibri" w:cs="Calibri"/>
                <w:rtl/>
              </w:rPr>
              <w:instrText xml:space="preserve"> \@ "</w:instrText>
            </w:r>
            <w:r w:rsidRPr="00CE07AA">
              <w:rPr>
                <w:rFonts w:ascii="Calibri" w:hAnsi="Calibri" w:cs="Calibri"/>
              </w:rPr>
              <w:instrText>d MMMM, yyyy" \h</w:instrText>
            </w:r>
            <w:r w:rsidRPr="00CE07AA">
              <w:rPr>
                <w:rFonts w:ascii="Calibri" w:hAnsi="Calibri" w:cs="Calibri"/>
                <w:rtl/>
              </w:rPr>
              <w:instrText xml:space="preserve"> </w:instrText>
            </w:r>
            <w:r w:rsidRPr="00CE07AA">
              <w:rPr>
                <w:rFonts w:ascii="Calibri" w:hAnsi="Calibri" w:cs="Calibri"/>
                <w:rtl/>
              </w:rPr>
              <w:fldChar w:fldCharType="separate"/>
            </w:r>
            <w:r w:rsidR="00AC3AEE">
              <w:rPr>
                <w:rFonts w:ascii="Calibri" w:hAnsi="Calibri" w:cs="Calibri"/>
                <w:noProof/>
                <w:rtl/>
              </w:rPr>
              <w:t>‏ג' ניסן, תשפ"ה</w:t>
            </w:r>
            <w:r w:rsidRPr="00CE07AA">
              <w:rPr>
                <w:rFonts w:ascii="Calibri" w:hAnsi="Calibri" w:cs="Calibri"/>
                <w:rtl/>
              </w:rPr>
              <w:fldChar w:fldCharType="end"/>
            </w:r>
          </w:p>
          <w:p w:rsidR="009005BA" w:rsidRPr="00CE07AA" w:rsidRDefault="009005BA" w:rsidP="009005BA">
            <w:pPr>
              <w:jc w:val="right"/>
              <w:rPr>
                <w:rFonts w:ascii="Calibri" w:hAnsi="Calibri" w:cs="Calibri"/>
                <w:highlight w:val="green"/>
              </w:rPr>
            </w:pPr>
            <w:r w:rsidRPr="00CE07AA">
              <w:rPr>
                <w:rFonts w:ascii="Calibri" w:hAnsi="Calibri" w:cs="Calibri"/>
                <w:rtl/>
              </w:rPr>
              <w:fldChar w:fldCharType="begin"/>
            </w:r>
            <w:r w:rsidRPr="00CE07AA">
              <w:rPr>
                <w:rFonts w:ascii="Calibri" w:hAnsi="Calibri" w:cs="Calibri"/>
                <w:rtl/>
              </w:rPr>
              <w:instrText xml:space="preserve"> </w:instrText>
            </w:r>
            <w:r w:rsidRPr="00CE07AA">
              <w:rPr>
                <w:rFonts w:ascii="Calibri" w:hAnsi="Calibri" w:cs="Calibri"/>
              </w:rPr>
              <w:instrText>DATE</w:instrText>
            </w:r>
            <w:r w:rsidRPr="00CE07AA">
              <w:rPr>
                <w:rFonts w:ascii="Calibri" w:hAnsi="Calibri" w:cs="Calibri"/>
                <w:rtl/>
              </w:rPr>
              <w:instrText xml:space="preserve"> \@ "</w:instrText>
            </w:r>
            <w:r w:rsidRPr="00CE07AA">
              <w:rPr>
                <w:rFonts w:ascii="Calibri" w:hAnsi="Calibri" w:cs="Calibri"/>
              </w:rPr>
              <w:instrText>d MMMM, yyyy</w:instrText>
            </w:r>
            <w:r w:rsidRPr="00CE07AA">
              <w:rPr>
                <w:rFonts w:ascii="Calibri" w:hAnsi="Calibri" w:cs="Calibri"/>
                <w:rtl/>
              </w:rPr>
              <w:instrText xml:space="preserve">" </w:instrText>
            </w:r>
            <w:r w:rsidRPr="00CE07AA">
              <w:rPr>
                <w:rFonts w:ascii="Calibri" w:hAnsi="Calibri" w:cs="Calibri"/>
                <w:rtl/>
              </w:rPr>
              <w:fldChar w:fldCharType="separate"/>
            </w:r>
            <w:r w:rsidR="00AC3AEE">
              <w:rPr>
                <w:rFonts w:ascii="Calibri" w:hAnsi="Calibri" w:cs="Calibri"/>
                <w:noProof/>
                <w:rtl/>
              </w:rPr>
              <w:t>‏1 אפריל, 2025</w:t>
            </w:r>
            <w:r w:rsidRPr="00CE07AA">
              <w:rPr>
                <w:rFonts w:ascii="Calibri" w:hAnsi="Calibri" w:cs="Calibri"/>
                <w:rtl/>
              </w:rPr>
              <w:fldChar w:fldCharType="end"/>
            </w:r>
          </w:p>
        </w:tc>
      </w:tr>
    </w:tbl>
    <w:p w:rsidR="009005BA" w:rsidRPr="00CE07AA" w:rsidRDefault="009005BA" w:rsidP="007B0741">
      <w:pPr>
        <w:tabs>
          <w:tab w:val="left" w:pos="2315"/>
        </w:tabs>
        <w:rPr>
          <w:rFonts w:ascii="Calibri" w:hAnsi="Calibri" w:cs="Calibri"/>
          <w:sz w:val="24"/>
          <w:szCs w:val="24"/>
          <w:rtl/>
        </w:rPr>
      </w:pPr>
    </w:p>
    <w:p w:rsidR="00B122A8" w:rsidRPr="00CE07AA" w:rsidRDefault="008E761A" w:rsidP="00B122A8">
      <w:pPr>
        <w:tabs>
          <w:tab w:val="left" w:pos="2315"/>
        </w:tabs>
        <w:rPr>
          <w:rFonts w:ascii="Calibri" w:hAnsi="Calibri" w:cs="Calibri"/>
          <w:b/>
          <w:bCs/>
          <w:rtl/>
        </w:rPr>
      </w:pPr>
      <w:r w:rsidRPr="00CE07AA">
        <w:rPr>
          <w:rFonts w:ascii="Calibri" w:hAnsi="Calibri" w:cs="Calibri"/>
          <w:sz w:val="24"/>
          <w:szCs w:val="24"/>
          <w:rtl/>
        </w:rPr>
        <w:t>הודעה לעיתונות:</w:t>
      </w:r>
      <w:r w:rsidR="00B122A8" w:rsidRPr="00CE07AA">
        <w:rPr>
          <w:rFonts w:ascii="Calibri" w:hAnsi="Calibri" w:cs="Calibri"/>
          <w:b/>
          <w:bCs/>
          <w:rtl/>
        </w:rPr>
        <w:t xml:space="preserve"> </w:t>
      </w:r>
    </w:p>
    <w:p w:rsidR="00AC3AEE" w:rsidRPr="00AC3AEE" w:rsidRDefault="00AC3AEE" w:rsidP="00AC3AEE">
      <w:pPr>
        <w:tabs>
          <w:tab w:val="left" w:pos="2895"/>
          <w:tab w:val="left" w:pos="5295"/>
        </w:tabs>
        <w:spacing w:line="360" w:lineRule="auto"/>
        <w:jc w:val="center"/>
        <w:rPr>
          <w:rFonts w:ascii="Calibri" w:hAnsi="Calibri" w:cs="Calibri"/>
          <w:sz w:val="20"/>
          <w:szCs w:val="20"/>
        </w:rPr>
      </w:pPr>
      <w:r w:rsidRPr="00AC3AEE">
        <w:rPr>
          <w:rFonts w:ascii="Calibri" w:hAnsi="Calibri" w:cs="Calibri"/>
          <w:b/>
          <w:bCs/>
          <w:color w:val="000000"/>
          <w:sz w:val="28"/>
          <w:szCs w:val="28"/>
          <w:rtl/>
        </w:rPr>
        <w:t xml:space="preserve">צעד נוסף להגברת התחרות על הפיקדונות המוצעים על ידי המערכת הבנקאית: חובת פרסום הצעות ריבית על פיקדונות ועל יתרות זכות בחשבון נכנסת היום לתוקפה </w:t>
      </w:r>
    </w:p>
    <w:p w:rsidR="00AC3AEE" w:rsidRPr="00AC3AEE" w:rsidRDefault="00AC3AEE" w:rsidP="00AC3AEE">
      <w:pPr>
        <w:spacing w:line="360" w:lineRule="auto"/>
        <w:jc w:val="both"/>
        <w:rPr>
          <w:rFonts w:ascii="Calibri" w:eastAsia="Times New Roman" w:hAnsi="Calibri" w:cs="Calibri"/>
          <w:color w:val="080908"/>
          <w:sz w:val="20"/>
          <w:rtl/>
          <w:lang w:eastAsia="he-IL"/>
        </w:rPr>
      </w:pPr>
      <w:r w:rsidRPr="00AC3AEE">
        <w:rPr>
          <w:rFonts w:ascii="Calibri" w:eastAsia="Times New Roman" w:hAnsi="Calibri" w:cs="Calibri"/>
          <w:b/>
          <w:bCs/>
          <w:color w:val="080908"/>
          <w:sz w:val="20"/>
          <w:rtl/>
          <w:lang w:eastAsia="he-IL"/>
        </w:rPr>
        <w:t>המפקח על הבנקים, מר דניאל חחיאשוילי</w:t>
      </w:r>
      <w:r w:rsidRPr="00AC3AEE">
        <w:rPr>
          <w:rFonts w:ascii="Calibri" w:eastAsia="Times New Roman" w:hAnsi="Calibri" w:cs="Calibri"/>
          <w:color w:val="080908"/>
          <w:sz w:val="20"/>
          <w:rtl/>
          <w:lang w:eastAsia="he-IL"/>
        </w:rPr>
        <w:t>: "היום נכנסת לתוקף הוראה המחייבת את הבנקים לפרסם באופן מרוכז, נגיש ואפקטיבי את שיעורי הריבית על פיקדונות ועל יתרות זכות בחשבון, וזאת במבנה אחיד המאפשר ללקוחות יכולת השוואה בין הצעות הערך של הבנקים השונים. צעד זה, מגביר את השקיפות, מסייע ללקוחות לבחון את האפשרויות המגוונות העומדות בפניהם בתחום הפיקדונות הבנקאיים, ובסופו של דבר יתרום לעידוד התחרות בתחום. הוראה זו היא חלק ממכלול צעדים שמקדם הפיקוח על הבנקים להגברת התחרות במערכת הבנקאית באמצעות חיזוק כוחו של הלקוח והגברת השקיפות".</w:t>
      </w:r>
    </w:p>
    <w:p w:rsidR="00AC3AEE" w:rsidRPr="00AC3AEE" w:rsidRDefault="00AC3AEE" w:rsidP="00AC3AEE">
      <w:pPr>
        <w:pStyle w:val="raz1"/>
        <w:numPr>
          <w:ilvl w:val="0"/>
          <w:numId w:val="0"/>
        </w:numPr>
        <w:spacing w:line="360" w:lineRule="auto"/>
        <w:rPr>
          <w:rFonts w:ascii="Calibri" w:eastAsia="Times New Roman" w:hAnsi="Calibri" w:cs="Calibri"/>
          <w:b w:val="0"/>
          <w:bCs w:val="0"/>
          <w:sz w:val="24"/>
          <w:szCs w:val="24"/>
          <w:u w:val="none"/>
          <w:rtl/>
        </w:rPr>
      </w:pPr>
    </w:p>
    <w:p w:rsidR="00AC3AEE" w:rsidRPr="00AC3AEE" w:rsidRDefault="00AC3AEE" w:rsidP="00AC3AEE">
      <w:pPr>
        <w:pStyle w:val="aff4"/>
        <w:tabs>
          <w:tab w:val="left" w:pos="389"/>
          <w:tab w:val="left" w:pos="658"/>
        </w:tabs>
        <w:bidi/>
        <w:spacing w:line="360" w:lineRule="auto"/>
        <w:contextualSpacing/>
        <w:jc w:val="both"/>
        <w:rPr>
          <w:rFonts w:ascii="Calibri" w:hAnsi="Calibri" w:cs="Calibri"/>
          <w:color w:val="080908"/>
          <w:sz w:val="24"/>
          <w:szCs w:val="24"/>
          <w:rtl/>
        </w:rPr>
      </w:pPr>
      <w:r w:rsidRPr="00AC3AEE">
        <w:rPr>
          <w:rFonts w:ascii="Calibri" w:hAnsi="Calibri" w:cs="Calibri"/>
          <w:color w:val="080908"/>
          <w:sz w:val="24"/>
          <w:szCs w:val="24"/>
          <w:rtl/>
        </w:rPr>
        <w:t xml:space="preserve">בהמשך לפרסום בנק ישראל ב-28.2.2024, הוראת ניהול בנקאי תקין מס' </w:t>
      </w:r>
      <w:r w:rsidRPr="00AC3AEE">
        <w:rPr>
          <w:rStyle w:val="af2"/>
          <w:rFonts w:ascii="Calibri" w:eastAsia="Segoe UI" w:hAnsi="Calibri" w:cs="Calibri"/>
          <w:sz w:val="24"/>
          <w:szCs w:val="24"/>
          <w:rtl/>
        </w:rPr>
        <w:footnoteReference w:id="1"/>
      </w:r>
      <w:r w:rsidRPr="00AC3AEE">
        <w:rPr>
          <w:rFonts w:ascii="Calibri" w:eastAsia="Segoe UI" w:hAnsi="Calibri" w:cs="Calibri"/>
          <w:sz w:val="24"/>
          <w:szCs w:val="24"/>
          <w:rtl/>
        </w:rPr>
        <w:t>447</w:t>
      </w:r>
      <w:r w:rsidRPr="00AC3AEE">
        <w:rPr>
          <w:rFonts w:ascii="Calibri" w:hAnsi="Calibri" w:cs="Calibri"/>
          <w:color w:val="080908"/>
          <w:sz w:val="24"/>
          <w:szCs w:val="24"/>
          <w:rtl/>
        </w:rPr>
        <w:t xml:space="preserve"> בנושא "פרסום שיעורי ריבית על פיקדונות ועל יתרות זכות בחשבון" (להלן - </w:t>
      </w:r>
      <w:r w:rsidRPr="00AC3AEE">
        <w:rPr>
          <w:rFonts w:ascii="Calibri" w:hAnsi="Calibri" w:cs="Calibri"/>
          <w:b/>
          <w:bCs/>
          <w:color w:val="080908"/>
          <w:sz w:val="24"/>
          <w:szCs w:val="24"/>
          <w:rtl/>
        </w:rPr>
        <w:t>"הוראה 447"</w:t>
      </w:r>
      <w:r w:rsidRPr="00AC3AEE">
        <w:rPr>
          <w:rFonts w:ascii="Calibri" w:hAnsi="Calibri" w:cs="Calibri"/>
          <w:color w:val="080908"/>
          <w:sz w:val="24"/>
          <w:szCs w:val="24"/>
          <w:rtl/>
        </w:rPr>
        <w:t>) הנכנסת לתוקף היום, קובעת כללים ומבנה אחיד להצגת המידע אודות שיעורי הריבית שמציעים התאגידים הבנקאיים על פיקדונות ועל יתרות זכות בחשבון. ההוראה קובעת כי תאגיד בנקאי יציג את שיעורי הריבית על פיקדונות ויתרות זכות המינימליים המוצעים במסגרת פרסום מרוכז לציבור שיופיע בפורמט אחיד הן באתר הבנק והאפליקציה והן בסניפים. בראש הפרסום יוצגו שיעורי הריבית בסוגי פיקדונות מקובלים במערכת הבנקאית, בהתאם לנוסח ולמבנה שנקבעו בהוראה על בסיס מיפוי שביצע הפיקוח על הבנקים אודות סוגי הפיקדונות הקיימים בשוק.</w:t>
      </w:r>
    </w:p>
    <w:p w:rsidR="00AC3AEE" w:rsidRPr="00AC3AEE" w:rsidRDefault="00AC3AEE" w:rsidP="00AC3AEE">
      <w:pPr>
        <w:pStyle w:val="aff4"/>
        <w:tabs>
          <w:tab w:val="left" w:pos="389"/>
          <w:tab w:val="left" w:pos="658"/>
        </w:tabs>
        <w:bidi/>
        <w:spacing w:line="360" w:lineRule="auto"/>
        <w:contextualSpacing/>
        <w:jc w:val="both"/>
        <w:rPr>
          <w:rFonts w:ascii="Calibri" w:hAnsi="Calibri" w:cs="Calibri"/>
          <w:color w:val="080908"/>
          <w:sz w:val="24"/>
          <w:szCs w:val="24"/>
          <w:rtl/>
        </w:rPr>
      </w:pPr>
      <w:r w:rsidRPr="00AC3AEE">
        <w:rPr>
          <w:rFonts w:ascii="Calibri" w:hAnsi="Calibri" w:cs="Calibri"/>
          <w:noProof/>
          <w:sz w:val="24"/>
          <w:szCs w:val="24"/>
        </w:rPr>
        <w:lastRenderedPageBreak/>
        <w:drawing>
          <wp:inline distT="0" distB="0" distL="0" distR="0" wp14:anchorId="666EDC4E" wp14:editId="46068336">
            <wp:extent cx="6140800" cy="3622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6217" t="23161" r="63021" b="12310"/>
                    <a:stretch/>
                  </pic:blipFill>
                  <pic:spPr bwMode="auto">
                    <a:xfrm>
                      <a:off x="0" y="0"/>
                      <a:ext cx="6165676" cy="3637476"/>
                    </a:xfrm>
                    <a:prstGeom prst="rect">
                      <a:avLst/>
                    </a:prstGeom>
                    <a:ln>
                      <a:noFill/>
                    </a:ln>
                    <a:extLst>
                      <a:ext uri="{53640926-AAD7-44D8-BBD7-CCE9431645EC}">
                        <a14:shadowObscured xmlns:a14="http://schemas.microsoft.com/office/drawing/2010/main"/>
                      </a:ext>
                    </a:extLst>
                  </pic:spPr>
                </pic:pic>
              </a:graphicData>
            </a:graphic>
          </wp:inline>
        </w:drawing>
      </w:r>
    </w:p>
    <w:p w:rsidR="00AC3AEE" w:rsidRPr="00AC3AEE" w:rsidRDefault="00AC3AEE" w:rsidP="00AC3AEE">
      <w:pPr>
        <w:pStyle w:val="aff4"/>
        <w:tabs>
          <w:tab w:val="left" w:pos="389"/>
          <w:tab w:val="left" w:pos="658"/>
        </w:tabs>
        <w:bidi/>
        <w:spacing w:line="360" w:lineRule="auto"/>
        <w:contextualSpacing/>
        <w:jc w:val="both"/>
        <w:rPr>
          <w:rFonts w:ascii="Calibri" w:hAnsi="Calibri" w:cs="Calibri"/>
          <w:color w:val="080908"/>
          <w:sz w:val="24"/>
          <w:szCs w:val="24"/>
          <w:rtl/>
        </w:rPr>
      </w:pPr>
      <w:r w:rsidRPr="00AC3AEE">
        <w:rPr>
          <w:rFonts w:ascii="Calibri" w:hAnsi="Calibri" w:cs="Calibri"/>
          <w:color w:val="080908"/>
          <w:sz w:val="24"/>
          <w:szCs w:val="24"/>
          <w:rtl/>
        </w:rPr>
        <w:t xml:space="preserve">הבנקים רשאים להציג בנוסף ובנפרד את סוגי הפיקדונות הנוספים שהם מציעים ללקוחותיהם, ככל שישנם. </w:t>
      </w:r>
    </w:p>
    <w:p w:rsidR="00AC3AEE" w:rsidRPr="00AC3AEE" w:rsidRDefault="00AC3AEE" w:rsidP="00AC3AEE">
      <w:pPr>
        <w:pStyle w:val="aff4"/>
        <w:tabs>
          <w:tab w:val="left" w:pos="389"/>
          <w:tab w:val="left" w:pos="658"/>
        </w:tabs>
        <w:bidi/>
        <w:spacing w:line="360" w:lineRule="auto"/>
        <w:contextualSpacing/>
        <w:jc w:val="both"/>
        <w:rPr>
          <w:rFonts w:ascii="Calibri" w:hAnsi="Calibri" w:cs="Calibri"/>
          <w:color w:val="080908"/>
          <w:sz w:val="24"/>
          <w:szCs w:val="24"/>
          <w:rtl/>
        </w:rPr>
      </w:pPr>
      <w:r w:rsidRPr="00AC3AEE">
        <w:rPr>
          <w:rFonts w:ascii="Calibri" w:hAnsi="Calibri" w:cs="Calibri"/>
          <w:color w:val="080908"/>
          <w:sz w:val="24"/>
          <w:szCs w:val="24"/>
          <w:rtl/>
        </w:rPr>
        <w:t xml:space="preserve">בנוסף נקבעה בהוראה 447 חובה להציע ללקוחות מנגנון חיפוש מקוון, לכל הפחות באתר האינטרנט ובאפליקציה של התאגיד הבנקאי, שיאפשר ללקוחות לקבל מידע ממוקד העונה על צרכיהם אודות סוגי הפיקדונות המוצעים על ידי התאגיד הבנקאי. </w:t>
      </w:r>
    </w:p>
    <w:p w:rsidR="00AC3AEE" w:rsidRPr="00AC3AEE" w:rsidRDefault="00AC3AEE" w:rsidP="00AC3AEE">
      <w:pPr>
        <w:pStyle w:val="aff4"/>
        <w:tabs>
          <w:tab w:val="left" w:pos="389"/>
          <w:tab w:val="left" w:pos="658"/>
        </w:tabs>
        <w:bidi/>
        <w:spacing w:line="360" w:lineRule="auto"/>
        <w:contextualSpacing/>
        <w:jc w:val="both"/>
        <w:rPr>
          <w:rFonts w:ascii="Calibri" w:hAnsi="Calibri" w:cs="Calibri"/>
          <w:color w:val="080908"/>
          <w:sz w:val="24"/>
          <w:szCs w:val="24"/>
          <w:rtl/>
        </w:rPr>
      </w:pPr>
    </w:p>
    <w:p w:rsidR="00AC3AEE" w:rsidRPr="00AC3AEE" w:rsidRDefault="00AC3AEE" w:rsidP="00AC3AEE">
      <w:pPr>
        <w:pStyle w:val="aff4"/>
        <w:tabs>
          <w:tab w:val="left" w:pos="389"/>
          <w:tab w:val="left" w:pos="658"/>
        </w:tabs>
        <w:bidi/>
        <w:spacing w:line="360" w:lineRule="auto"/>
        <w:contextualSpacing/>
        <w:jc w:val="both"/>
        <w:rPr>
          <w:rFonts w:ascii="Calibri" w:eastAsia="Segoe UI" w:hAnsi="Calibri" w:cs="Calibri"/>
          <w:sz w:val="24"/>
          <w:szCs w:val="24"/>
          <w:rtl/>
        </w:rPr>
      </w:pPr>
      <w:r w:rsidRPr="00AC3AEE">
        <w:rPr>
          <w:rFonts w:ascii="Calibri" w:eastAsia="Segoe UI" w:hAnsi="Calibri" w:cs="Calibri"/>
          <w:sz w:val="24"/>
          <w:szCs w:val="24"/>
          <w:rtl/>
        </w:rPr>
        <w:t>בכוונת בנק ישראל לעקוב ולנתח את פרסומי המערכת הבנקאית ולבחון את ההתפתחויות בתחום הריביות המוצעות על פיקדונות הציבור לאורך זמן, תוך השוואה בין שיעורי הריבית שיפרסמו הבנקים לציבור בהתאם להוראה 447 לבין שיעורי הריבית שייתנו הבנקים לציבור בפועל, כפי שהם מפורסמים במסגרת אתר "קו המשווה" של בנק ישראל.</w:t>
      </w:r>
    </w:p>
    <w:p w:rsidR="00AC3AEE" w:rsidRPr="00AC3AEE" w:rsidRDefault="00AC3AEE" w:rsidP="00AC3AEE">
      <w:pPr>
        <w:pStyle w:val="aff4"/>
        <w:tabs>
          <w:tab w:val="left" w:pos="389"/>
          <w:tab w:val="left" w:pos="658"/>
        </w:tabs>
        <w:bidi/>
        <w:spacing w:line="360" w:lineRule="auto"/>
        <w:contextualSpacing/>
        <w:jc w:val="both"/>
        <w:rPr>
          <w:rFonts w:ascii="Calibri" w:eastAsia="Segoe UI" w:hAnsi="Calibri" w:cs="Calibri"/>
          <w:sz w:val="24"/>
          <w:szCs w:val="24"/>
          <w:rtl/>
        </w:rPr>
      </w:pPr>
    </w:p>
    <w:p w:rsidR="00E37694" w:rsidRPr="00E37694" w:rsidRDefault="00E37694" w:rsidP="00E37694">
      <w:pPr>
        <w:pStyle w:val="aff4"/>
        <w:tabs>
          <w:tab w:val="left" w:pos="389"/>
          <w:tab w:val="left" w:pos="658"/>
        </w:tabs>
        <w:bidi/>
        <w:spacing w:line="360" w:lineRule="auto"/>
        <w:contextualSpacing/>
        <w:jc w:val="both"/>
        <w:rPr>
          <w:rFonts w:ascii="Calibri" w:eastAsia="Segoe UI" w:hAnsi="Calibri" w:cs="Calibri"/>
          <w:sz w:val="24"/>
          <w:szCs w:val="24"/>
        </w:rPr>
      </w:pPr>
      <w:r w:rsidRPr="00E37694">
        <w:rPr>
          <w:rFonts w:ascii="Calibri" w:eastAsia="Segoe UI" w:hAnsi="Calibri" w:cs="Calibri"/>
          <w:sz w:val="24"/>
          <w:szCs w:val="24"/>
          <w:rtl/>
        </w:rPr>
        <w:t>קישורים לפרסומי הבנקים אודות שיעורי הריבית על פיקדונות ועל יתרות זכות בחשבון</w:t>
      </w:r>
    </w:p>
    <w:p w:rsidR="00E37694" w:rsidRDefault="00E37694" w:rsidP="00E37694">
      <w:pPr>
        <w:rPr>
          <w:color w:val="1F497D"/>
        </w:rPr>
      </w:pPr>
      <w:hyperlink r:id="rId10" w:history="1">
        <w:r>
          <w:rPr>
            <w:rStyle w:val="Hyperlink"/>
            <w:rFonts w:hint="cs"/>
          </w:rPr>
          <w:t>https://www.boi.org.il/information/interestrates/allbankslinks</w:t>
        </w:r>
        <w:r>
          <w:rPr>
            <w:rStyle w:val="Hyperlink"/>
            <w:rFonts w:ascii="Arial" w:hAnsi="Arial" w:cs="Arial"/>
            <w:rtl/>
          </w:rPr>
          <w:t>/</w:t>
        </w:r>
      </w:hyperlink>
    </w:p>
    <w:p w:rsidR="005632A9" w:rsidRPr="00E37694" w:rsidRDefault="005632A9" w:rsidP="00CE07AA">
      <w:pPr>
        <w:tabs>
          <w:tab w:val="left" w:pos="2315"/>
        </w:tabs>
        <w:spacing w:after="0" w:line="360" w:lineRule="auto"/>
        <w:jc w:val="both"/>
        <w:rPr>
          <w:rFonts w:ascii="Calibri" w:hAnsi="Calibri" w:cs="Calibri"/>
          <w:sz w:val="24"/>
          <w:szCs w:val="24"/>
          <w:rtl/>
        </w:rPr>
      </w:pPr>
      <w:bookmarkStart w:id="0" w:name="_GoBack"/>
      <w:bookmarkEnd w:id="0"/>
    </w:p>
    <w:sectPr w:rsidR="005632A9" w:rsidRPr="00E37694"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AC3AEE" w:rsidRPr="00AC3AEE" w:rsidRDefault="00AC3AEE" w:rsidP="00AC3AEE">
      <w:pPr>
        <w:pStyle w:val="af0"/>
        <w:rPr>
          <w:rFonts w:ascii="Calibri" w:hAnsi="Calibri" w:cs="Calibri"/>
          <w:rtl/>
        </w:rPr>
      </w:pPr>
      <w:r w:rsidRPr="00AC3AEE">
        <w:rPr>
          <w:rStyle w:val="af2"/>
          <w:rFonts w:ascii="Calibri" w:hAnsi="Calibri" w:cs="Calibri"/>
        </w:rPr>
        <w:footnoteRef/>
      </w:r>
      <w:r w:rsidRPr="00AC3AEE">
        <w:rPr>
          <w:rFonts w:ascii="Calibri" w:hAnsi="Calibri" w:cs="Calibri"/>
        </w:rPr>
        <w:t xml:space="preserve"> </w:t>
      </w:r>
      <w:hyperlink r:id="rId1" w:history="1">
        <w:r w:rsidRPr="00AC3AEE">
          <w:rPr>
            <w:rStyle w:val="Hyperlink"/>
            <w:rFonts w:ascii="Calibri" w:hAnsi="Calibri" w:cs="Calibri"/>
          </w:rPr>
          <w:t>https://www.boi.org.il/media/orgfwntb/447.pdf</w:t>
        </w:r>
      </w:hyperlink>
      <w:r w:rsidRPr="00AC3AEE">
        <w:rPr>
          <w:rFonts w:ascii="Calibri" w:hAnsi="Calibri" w:cs="Calibri"/>
          <w:rtl/>
        </w:rPr>
        <w:t xml:space="preserve"> - קישור לנוסח ההוראה המלא</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E98"/>
    <w:multiLevelType w:val="hybridMultilevel"/>
    <w:tmpl w:val="F9D854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850065C"/>
    <w:multiLevelType w:val="hybridMultilevel"/>
    <w:tmpl w:val="ED986C5A"/>
    <w:lvl w:ilvl="0" w:tplc="C0203768">
      <w:start w:val="1"/>
      <w:numFmt w:val="hebrew1"/>
      <w:pStyle w:val="raz1"/>
      <w:lvlText w:val="%1."/>
      <w:lvlJc w:val="left"/>
      <w:pPr>
        <w:ind w:left="360" w:hanging="360"/>
      </w:pPr>
      <w:rPr>
        <w:rFonts w:hint="default"/>
        <w:b w:val="0"/>
        <w:bCs/>
        <w:sz w:val="28"/>
        <w:szCs w:val="28"/>
        <w:u w:val="none"/>
      </w:rPr>
    </w:lvl>
    <w:lvl w:ilvl="1" w:tplc="12A4795C" w:tentative="1">
      <w:start w:val="1"/>
      <w:numFmt w:val="lowerLetter"/>
      <w:lvlText w:val="%2."/>
      <w:lvlJc w:val="left"/>
      <w:pPr>
        <w:ind w:left="1080" w:hanging="360"/>
      </w:pPr>
    </w:lvl>
    <w:lvl w:ilvl="2" w:tplc="276E292E" w:tentative="1">
      <w:start w:val="1"/>
      <w:numFmt w:val="lowerRoman"/>
      <w:lvlText w:val="%3."/>
      <w:lvlJc w:val="right"/>
      <w:pPr>
        <w:ind w:left="1800" w:hanging="180"/>
      </w:pPr>
    </w:lvl>
    <w:lvl w:ilvl="3" w:tplc="47EEC7CC" w:tentative="1">
      <w:start w:val="1"/>
      <w:numFmt w:val="decimal"/>
      <w:lvlText w:val="%4."/>
      <w:lvlJc w:val="left"/>
      <w:pPr>
        <w:ind w:left="2520" w:hanging="360"/>
      </w:pPr>
    </w:lvl>
    <w:lvl w:ilvl="4" w:tplc="94D8C7C6" w:tentative="1">
      <w:start w:val="1"/>
      <w:numFmt w:val="lowerLetter"/>
      <w:lvlText w:val="%5."/>
      <w:lvlJc w:val="left"/>
      <w:pPr>
        <w:ind w:left="3240" w:hanging="360"/>
      </w:pPr>
    </w:lvl>
    <w:lvl w:ilvl="5" w:tplc="6A18845C" w:tentative="1">
      <w:start w:val="1"/>
      <w:numFmt w:val="lowerRoman"/>
      <w:lvlText w:val="%6."/>
      <w:lvlJc w:val="right"/>
      <w:pPr>
        <w:ind w:left="3960" w:hanging="180"/>
      </w:pPr>
    </w:lvl>
    <w:lvl w:ilvl="6" w:tplc="3C54C568" w:tentative="1">
      <w:start w:val="1"/>
      <w:numFmt w:val="decimal"/>
      <w:lvlText w:val="%7."/>
      <w:lvlJc w:val="left"/>
      <w:pPr>
        <w:ind w:left="4680" w:hanging="360"/>
      </w:pPr>
    </w:lvl>
    <w:lvl w:ilvl="7" w:tplc="DDC0AB16" w:tentative="1">
      <w:start w:val="1"/>
      <w:numFmt w:val="lowerLetter"/>
      <w:lvlText w:val="%8."/>
      <w:lvlJc w:val="left"/>
      <w:pPr>
        <w:ind w:left="5400" w:hanging="360"/>
      </w:pPr>
    </w:lvl>
    <w:lvl w:ilvl="8" w:tplc="0C22C3CE" w:tentative="1">
      <w:start w:val="1"/>
      <w:numFmt w:val="lowerRoman"/>
      <w:lvlText w:val="%9."/>
      <w:lvlJc w:val="right"/>
      <w:pPr>
        <w:ind w:left="6120" w:hanging="180"/>
      </w:pPr>
    </w:lvl>
  </w:abstractNum>
  <w:abstractNum w:abstractNumId="15"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6"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19"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0" w15:restartNumberingAfterBreak="0">
    <w:nsid w:val="5E8B396C"/>
    <w:multiLevelType w:val="hybridMultilevel"/>
    <w:tmpl w:val="31E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32"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7"/>
  </w:num>
  <w:num w:numId="8">
    <w:abstractNumId w:val="25"/>
  </w:num>
  <w:num w:numId="9">
    <w:abstractNumId w:val="28"/>
  </w:num>
  <w:num w:numId="10">
    <w:abstractNumId w:val="21"/>
  </w:num>
  <w:num w:numId="11">
    <w:abstractNumId w:val="16"/>
  </w:num>
  <w:num w:numId="12">
    <w:abstractNumId w:val="22"/>
  </w:num>
  <w:num w:numId="13">
    <w:abstractNumId w:val="13"/>
  </w:num>
  <w:num w:numId="14">
    <w:abstractNumId w:val="4"/>
  </w:num>
  <w:num w:numId="15">
    <w:abstractNumId w:val="23"/>
  </w:num>
  <w:num w:numId="16">
    <w:abstractNumId w:val="2"/>
  </w:num>
  <w:num w:numId="17">
    <w:abstractNumId w:val="32"/>
  </w:num>
  <w:num w:numId="18">
    <w:abstractNumId w:val="29"/>
  </w:num>
  <w:num w:numId="19">
    <w:abstractNumId w:val="27"/>
  </w:num>
  <w:num w:numId="20">
    <w:abstractNumId w:val="26"/>
  </w:num>
  <w:num w:numId="21">
    <w:abstractNumId w:val="1"/>
  </w:num>
  <w:num w:numId="22">
    <w:abstractNumId w:val="9"/>
  </w:num>
  <w:num w:numId="23">
    <w:abstractNumId w:val="30"/>
  </w:num>
  <w:num w:numId="24">
    <w:abstractNumId w:val="19"/>
  </w:num>
  <w:num w:numId="25">
    <w:abstractNumId w:val="24"/>
  </w:num>
  <w:num w:numId="26">
    <w:abstractNumId w:val="31"/>
  </w:num>
  <w:num w:numId="27">
    <w:abstractNumId w:val="0"/>
  </w:num>
  <w:num w:numId="28">
    <w:abstractNumId w:val="15"/>
  </w:num>
  <w:num w:numId="29">
    <w:abstractNumId w:val="18"/>
  </w:num>
  <w:num w:numId="30">
    <w:abstractNumId w:val="11"/>
  </w:num>
  <w:num w:numId="31">
    <w:abstractNumId w:val="20"/>
  </w:num>
  <w:num w:numId="32">
    <w:abstractNumId w:val="12"/>
  </w:num>
  <w:num w:numId="3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trackedChanges"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B5C"/>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32A9"/>
    <w:rsid w:val="0056402E"/>
    <w:rsid w:val="00565685"/>
    <w:rsid w:val="00566764"/>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174D9"/>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3AEE"/>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07AA"/>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37694"/>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CD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aliases w:val="פיסקת bullets,פיסקת רשימה1,List Paragraph1,פיסקת רשימה11,פיסקת רשימה12,פיסקת רשימה121,פיסקת רשימה2,List Paragraph2,List Paragraph11,List Paragraph3"/>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aliases w:val="פיסקת bullets תו,פיסקת רשימה1 תו,List Paragraph1 תו,פיסקת רשימה11 תו,פיסקת רשימה12 תו,פיסקת רשימה121 תו,פיסקת רשימה2 תו,List Paragraph2 תו,List Paragraph11 תו,List Paragraph3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 w:type="paragraph" w:customStyle="1" w:styleId="aff2">
    <w:name w:val="הערות איור"/>
    <w:basedOn w:val="a"/>
    <w:link w:val="aff3"/>
    <w:qFormat/>
    <w:rsid w:val="005632A9"/>
    <w:pPr>
      <w:spacing w:after="0" w:line="240" w:lineRule="auto"/>
      <w:ind w:firstLine="380"/>
      <w:jc w:val="both"/>
    </w:pPr>
    <w:rPr>
      <w:rFonts w:ascii="David" w:eastAsia="Times New Roman" w:hAnsi="David" w:cs="David"/>
      <w:b/>
      <w:bCs/>
      <w:color w:val="2E3D50"/>
      <w:sz w:val="20"/>
      <w:szCs w:val="20"/>
    </w:rPr>
  </w:style>
  <w:style w:type="character" w:customStyle="1" w:styleId="aff3">
    <w:name w:val="הערות איור תו"/>
    <w:basedOn w:val="a0"/>
    <w:link w:val="aff2"/>
    <w:rsid w:val="005632A9"/>
    <w:rPr>
      <w:rFonts w:ascii="David" w:eastAsia="Times New Roman" w:hAnsi="David" w:cs="David"/>
      <w:b/>
      <w:bCs/>
      <w:color w:val="2E3D50"/>
      <w:sz w:val="20"/>
      <w:szCs w:val="20"/>
    </w:rPr>
  </w:style>
  <w:style w:type="paragraph" w:styleId="aff4">
    <w:name w:val="Body Text"/>
    <w:basedOn w:val="a"/>
    <w:link w:val="aff5"/>
    <w:semiHidden/>
    <w:unhideWhenUsed/>
    <w:qFormat/>
    <w:rsid w:val="005632A9"/>
    <w:pPr>
      <w:widowControl w:val="0"/>
      <w:bidi w:val="0"/>
      <w:spacing w:after="90" w:line="240" w:lineRule="auto"/>
      <w:ind w:firstLine="10"/>
    </w:pPr>
    <w:rPr>
      <w:rFonts w:ascii="Book Antiqua" w:eastAsia="Book Antiqua" w:hAnsi="Book Antiqua" w:cs="Book Antiqua"/>
      <w:sz w:val="15"/>
      <w:szCs w:val="15"/>
    </w:rPr>
  </w:style>
  <w:style w:type="character" w:customStyle="1" w:styleId="aff5">
    <w:name w:val="גוף טקסט תו"/>
    <w:basedOn w:val="a0"/>
    <w:link w:val="aff4"/>
    <w:semiHidden/>
    <w:rsid w:val="005632A9"/>
    <w:rPr>
      <w:rFonts w:ascii="Book Antiqua" w:eastAsia="Book Antiqua" w:hAnsi="Book Antiqua" w:cs="Book Antiqua"/>
      <w:sz w:val="15"/>
      <w:szCs w:val="15"/>
    </w:rPr>
  </w:style>
  <w:style w:type="paragraph" w:customStyle="1" w:styleId="raz1">
    <w:name w:val="raz1"/>
    <w:basedOn w:val="a5"/>
    <w:qFormat/>
    <w:rsid w:val="00AC3AEE"/>
    <w:pPr>
      <w:numPr>
        <w:numId w:val="33"/>
      </w:numPr>
      <w:tabs>
        <w:tab w:val="num" w:pos="360"/>
      </w:tabs>
      <w:spacing w:after="160" w:line="259" w:lineRule="auto"/>
      <w:ind w:left="720" w:firstLine="0"/>
      <w:jc w:val="both"/>
    </w:pPr>
    <w:rPr>
      <w:rFonts w:ascii="David" w:eastAsia="Calibri" w:hAnsi="David" w:cs="David"/>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17925151">
      <w:bodyDiv w:val="1"/>
      <w:marLeft w:val="0"/>
      <w:marRight w:val="0"/>
      <w:marTop w:val="0"/>
      <w:marBottom w:val="0"/>
      <w:divBdr>
        <w:top w:val="none" w:sz="0" w:space="0" w:color="auto"/>
        <w:left w:val="none" w:sz="0" w:space="0" w:color="auto"/>
        <w:bottom w:val="none" w:sz="0" w:space="0" w:color="auto"/>
        <w:right w:val="none" w:sz="0" w:space="0" w:color="auto"/>
      </w:divBdr>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46129898">
      <w:bodyDiv w:val="1"/>
      <w:marLeft w:val="0"/>
      <w:marRight w:val="0"/>
      <w:marTop w:val="0"/>
      <w:marBottom w:val="0"/>
      <w:divBdr>
        <w:top w:val="none" w:sz="0" w:space="0" w:color="auto"/>
        <w:left w:val="none" w:sz="0" w:space="0" w:color="auto"/>
        <w:bottom w:val="none" w:sz="0" w:space="0" w:color="auto"/>
        <w:right w:val="none" w:sz="0" w:space="0" w:color="auto"/>
      </w:divBdr>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oi.org.il/information/interestrates/allbankslinks/"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6.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media/orgfwntb/44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1234-82E7-4D2F-AE99-973034FB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379</Words>
  <Characters>1898</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2025-04-01T09:12:00Z</dcterms:created>
  <dcterms:modified xsi:type="dcterms:W3CDTF">2025-04-01T10:59:00Z</dcterms:modified>
</cp:coreProperties>
</file>