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ABA" w:rsidRPr="00E8008F" w:rsidRDefault="00166ABA" w:rsidP="00166ABA">
      <w:pPr>
        <w:jc w:val="center"/>
        <w:rPr>
          <w:rtl/>
        </w:rPr>
      </w:pPr>
      <w:r>
        <w:rPr>
          <w:noProof/>
        </w:rPr>
        <w:drawing>
          <wp:inline distT="0" distB="0" distL="0" distR="0" wp14:anchorId="22130A11" wp14:editId="4F75F85B">
            <wp:extent cx="1060704" cy="1060704"/>
            <wp:effectExtent l="0" t="0" r="6350" b="6350"/>
            <wp:docPr id="9" name="Picture 4"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3362" cy="1063362"/>
                    </a:xfrm>
                    <a:prstGeom prst="rect">
                      <a:avLst/>
                    </a:prstGeom>
                    <a:noFill/>
                    <a:ln>
                      <a:noFill/>
                    </a:ln>
                  </pic:spPr>
                </pic:pic>
              </a:graphicData>
            </a:graphic>
          </wp:inline>
        </w:drawing>
      </w:r>
    </w:p>
    <w:p w:rsidR="00166ABA" w:rsidRPr="008E4D8E" w:rsidRDefault="00166ABA" w:rsidP="00166ABA">
      <w:pPr>
        <w:pStyle w:val="LetterheadBOI"/>
      </w:pPr>
      <w:r w:rsidRPr="008E4D8E">
        <w:t>BANK OF ISRAEL</w:t>
      </w:r>
    </w:p>
    <w:p w:rsidR="00166ABA" w:rsidRPr="008E4D8E" w:rsidRDefault="00166ABA" w:rsidP="00166ABA">
      <w:pPr>
        <w:pStyle w:val="Letterhead2"/>
        <w:rPr>
          <w:b/>
        </w:rPr>
      </w:pPr>
      <w:r w:rsidRPr="008E4D8E">
        <w:t>Office of the Spokesperson and Economic Information</w:t>
      </w:r>
    </w:p>
    <w:p w:rsidR="00166ABA" w:rsidRDefault="00166ABA" w:rsidP="00166ABA">
      <w:pPr>
        <w:jc w:val="center"/>
        <w:rPr>
          <w:rFonts w:asciiTheme="majorBidi" w:hAnsiTheme="majorBidi" w:cstheme="majorBidi"/>
          <w:b/>
          <w:bCs/>
          <w:rtl/>
        </w:rPr>
      </w:pPr>
    </w:p>
    <w:p w:rsidR="00166ABA" w:rsidRPr="00166ABA" w:rsidRDefault="00166ABA" w:rsidP="00166ABA">
      <w:pPr>
        <w:pStyle w:val="PressReleaseTitle"/>
        <w:bidi/>
        <w:jc w:val="left"/>
        <w:rPr>
          <w:b w:val="0"/>
          <w:bCs w:val="0"/>
        </w:rPr>
      </w:pPr>
      <w:r w:rsidRPr="00166ABA">
        <w:rPr>
          <w:b w:val="0"/>
          <w:bCs w:val="0"/>
        </w:rPr>
        <w:t>June 27, 2021</w:t>
      </w:r>
    </w:p>
    <w:p w:rsidR="00166ABA" w:rsidRDefault="00166ABA" w:rsidP="00166ABA">
      <w:pPr>
        <w:pStyle w:val="PressReleaseTitle"/>
        <w:jc w:val="left"/>
      </w:pPr>
    </w:p>
    <w:p w:rsidR="00166ABA" w:rsidRPr="00166ABA" w:rsidRDefault="00166ABA" w:rsidP="00166ABA">
      <w:pPr>
        <w:pStyle w:val="PressReleaseTitle"/>
        <w:jc w:val="left"/>
        <w:rPr>
          <w:b w:val="0"/>
          <w:bCs w:val="0"/>
        </w:rPr>
      </w:pPr>
      <w:r w:rsidRPr="00166ABA">
        <w:rPr>
          <w:b w:val="0"/>
          <w:bCs w:val="0"/>
        </w:rPr>
        <w:t>Press Release</w:t>
      </w:r>
    </w:p>
    <w:p w:rsidR="0094738B" w:rsidRPr="002C7E33" w:rsidRDefault="0094738B" w:rsidP="00166ABA">
      <w:pPr>
        <w:pStyle w:val="PressReleaseTitle"/>
        <w:jc w:val="left"/>
      </w:pPr>
    </w:p>
    <w:p w:rsidR="0065440B" w:rsidRDefault="00DD15DC" w:rsidP="002C7E33">
      <w:pPr>
        <w:pStyle w:val="PressReleaseTitle"/>
        <w:rPr>
          <w:sz w:val="32"/>
          <w:szCs w:val="32"/>
        </w:rPr>
      </w:pPr>
      <w:r w:rsidRPr="0065440B">
        <w:rPr>
          <w:sz w:val="32"/>
          <w:szCs w:val="32"/>
        </w:rPr>
        <w:t xml:space="preserve">Israel’s International Investment Position (IIP), </w:t>
      </w:r>
    </w:p>
    <w:p w:rsidR="0094738B" w:rsidRPr="0065440B" w:rsidRDefault="00510B33" w:rsidP="00510B33">
      <w:pPr>
        <w:pStyle w:val="PressReleaseTitle"/>
        <w:rPr>
          <w:sz w:val="32"/>
          <w:szCs w:val="32"/>
        </w:rPr>
      </w:pPr>
      <w:r>
        <w:rPr>
          <w:sz w:val="32"/>
          <w:szCs w:val="32"/>
        </w:rPr>
        <w:t>First Quarter</w:t>
      </w:r>
      <w:r w:rsidR="000C6D17" w:rsidRPr="0065440B">
        <w:rPr>
          <w:sz w:val="32"/>
          <w:szCs w:val="32"/>
        </w:rPr>
        <w:t xml:space="preserve"> of </w:t>
      </w:r>
      <w:r>
        <w:rPr>
          <w:sz w:val="32"/>
          <w:szCs w:val="32"/>
        </w:rPr>
        <w:t>2021</w:t>
      </w:r>
    </w:p>
    <w:p w:rsidR="00DD15DC" w:rsidRPr="002C7E33" w:rsidRDefault="00DD15DC" w:rsidP="00DD15DC">
      <w:pPr>
        <w:pStyle w:val="regpar"/>
        <w:jc w:val="center"/>
        <w:outlineLvl w:val="0"/>
        <w:rPr>
          <w:sz w:val="22"/>
        </w:rPr>
      </w:pPr>
    </w:p>
    <w:p w:rsidR="00E21F4E" w:rsidRDefault="00DD15DC" w:rsidP="00E71992">
      <w:pPr>
        <w:pStyle w:val="regpar"/>
        <w:numPr>
          <w:ilvl w:val="0"/>
          <w:numId w:val="2"/>
        </w:numPr>
        <w:tabs>
          <w:tab w:val="clear" w:pos="720"/>
          <w:tab w:val="num" w:pos="360"/>
        </w:tabs>
        <w:ind w:left="360"/>
        <w:rPr>
          <w:b/>
          <w:bCs/>
        </w:rPr>
      </w:pPr>
      <w:r w:rsidRPr="002C7E33">
        <w:rPr>
          <w:b/>
          <w:bCs/>
        </w:rPr>
        <w:t xml:space="preserve">In the </w:t>
      </w:r>
      <w:r w:rsidR="00510B33">
        <w:rPr>
          <w:b/>
          <w:bCs/>
        </w:rPr>
        <w:t>first quarter</w:t>
      </w:r>
      <w:r w:rsidRPr="002C7E33">
        <w:rPr>
          <w:b/>
          <w:bCs/>
        </w:rPr>
        <w:t xml:space="preserve"> of </w:t>
      </w:r>
      <w:r w:rsidR="00510B33">
        <w:rPr>
          <w:b/>
          <w:bCs/>
        </w:rPr>
        <w:t>2021</w:t>
      </w:r>
      <w:r w:rsidRPr="002C7E33">
        <w:rPr>
          <w:b/>
          <w:bCs/>
        </w:rPr>
        <w:t xml:space="preserve">, </w:t>
      </w:r>
      <w:r w:rsidR="00173F17" w:rsidRPr="002C7E33">
        <w:rPr>
          <w:b/>
          <w:bCs/>
        </w:rPr>
        <w:t xml:space="preserve">the balance of assets held </w:t>
      </w:r>
      <w:r w:rsidR="005B4C06" w:rsidRPr="002C7E33">
        <w:rPr>
          <w:b/>
          <w:bCs/>
        </w:rPr>
        <w:t xml:space="preserve">abroad </w:t>
      </w:r>
      <w:r w:rsidR="00173F17" w:rsidRPr="002C7E33">
        <w:rPr>
          <w:b/>
          <w:bCs/>
        </w:rPr>
        <w:t>by Israeli reside</w:t>
      </w:r>
      <w:r w:rsidR="00CA56A4" w:rsidRPr="002C7E33">
        <w:rPr>
          <w:b/>
          <w:bCs/>
        </w:rPr>
        <w:t>n</w:t>
      </w:r>
      <w:r w:rsidR="00173F17" w:rsidRPr="002C7E33">
        <w:rPr>
          <w:b/>
          <w:bCs/>
        </w:rPr>
        <w:t xml:space="preserve">ts </w:t>
      </w:r>
      <w:r w:rsidR="00145E7A">
        <w:rPr>
          <w:b/>
          <w:bCs/>
        </w:rPr>
        <w:t>in</w:t>
      </w:r>
      <w:r w:rsidR="00526B66" w:rsidRPr="002C7E33">
        <w:rPr>
          <w:b/>
          <w:bCs/>
        </w:rPr>
        <w:t>creas</w:t>
      </w:r>
      <w:r w:rsidR="00224462" w:rsidRPr="002C7E33">
        <w:rPr>
          <w:b/>
          <w:bCs/>
        </w:rPr>
        <w:t xml:space="preserve">ed </w:t>
      </w:r>
      <w:r w:rsidRPr="002C7E33">
        <w:rPr>
          <w:b/>
          <w:bCs/>
        </w:rPr>
        <w:t xml:space="preserve">by </w:t>
      </w:r>
      <w:r w:rsidR="003947F4">
        <w:rPr>
          <w:b/>
          <w:bCs/>
        </w:rPr>
        <w:t>approximately</w:t>
      </w:r>
      <w:r w:rsidRPr="002C7E33">
        <w:rPr>
          <w:b/>
          <w:bCs/>
        </w:rPr>
        <w:t xml:space="preserve"> $</w:t>
      </w:r>
      <w:r w:rsidR="00510B33">
        <w:rPr>
          <w:b/>
          <w:bCs/>
        </w:rPr>
        <w:t>27</w:t>
      </w:r>
      <w:r w:rsidR="00145E7A">
        <w:rPr>
          <w:b/>
          <w:bCs/>
        </w:rPr>
        <w:t xml:space="preserve"> </w:t>
      </w:r>
      <w:r w:rsidRPr="002C7E33">
        <w:rPr>
          <w:b/>
          <w:bCs/>
        </w:rPr>
        <w:t>billion (</w:t>
      </w:r>
      <w:r w:rsidR="00510B33">
        <w:rPr>
          <w:b/>
          <w:bCs/>
        </w:rPr>
        <w:t>4</w:t>
      </w:r>
      <w:r w:rsidR="007523F6">
        <w:rPr>
          <w:b/>
          <w:bCs/>
        </w:rPr>
        <w:t xml:space="preserve"> </w:t>
      </w:r>
      <w:r w:rsidRPr="002C7E33">
        <w:rPr>
          <w:b/>
          <w:bCs/>
        </w:rPr>
        <w:t>percent)</w:t>
      </w:r>
      <w:r w:rsidR="003947F4">
        <w:rPr>
          <w:b/>
          <w:bCs/>
        </w:rPr>
        <w:t>,</w:t>
      </w:r>
      <w:r w:rsidR="00B6309A" w:rsidRPr="002C7E33">
        <w:rPr>
          <w:b/>
          <w:bCs/>
        </w:rPr>
        <w:t xml:space="preserve"> to about $</w:t>
      </w:r>
      <w:r w:rsidR="00510B33">
        <w:rPr>
          <w:b/>
          <w:bCs/>
        </w:rPr>
        <w:t xml:space="preserve">627 </w:t>
      </w:r>
      <w:r w:rsidR="00B6309A" w:rsidRPr="002C7E33">
        <w:rPr>
          <w:b/>
          <w:bCs/>
        </w:rPr>
        <w:t>billion</w:t>
      </w:r>
      <w:r w:rsidR="00E074A9" w:rsidRPr="002C7E33">
        <w:rPr>
          <w:b/>
          <w:bCs/>
        </w:rPr>
        <w:t xml:space="preserve"> at the end of </w:t>
      </w:r>
      <w:r w:rsidR="00510B33">
        <w:rPr>
          <w:b/>
          <w:bCs/>
        </w:rPr>
        <w:t>March</w:t>
      </w:r>
      <w:r w:rsidR="006677F8" w:rsidRPr="002C7E33">
        <w:rPr>
          <w:b/>
          <w:bCs/>
        </w:rPr>
        <w:t>.</w:t>
      </w:r>
      <w:r w:rsidRPr="002C7E33">
        <w:rPr>
          <w:b/>
          <w:bCs/>
        </w:rPr>
        <w:t xml:space="preserve"> </w:t>
      </w:r>
      <w:r w:rsidR="001743E0" w:rsidRPr="002C7E33">
        <w:rPr>
          <w:b/>
          <w:bCs/>
        </w:rPr>
        <w:t xml:space="preserve">The </w:t>
      </w:r>
      <w:r w:rsidR="00323D74">
        <w:rPr>
          <w:b/>
          <w:bCs/>
        </w:rPr>
        <w:t>in</w:t>
      </w:r>
      <w:r w:rsidR="00526B66" w:rsidRPr="002C7E33">
        <w:rPr>
          <w:b/>
          <w:bCs/>
        </w:rPr>
        <w:t>crease</w:t>
      </w:r>
      <w:r w:rsidR="001743E0" w:rsidRPr="002C7E33">
        <w:rPr>
          <w:b/>
          <w:bCs/>
        </w:rPr>
        <w:t xml:space="preserve"> </w:t>
      </w:r>
      <w:r w:rsidR="001C40E9" w:rsidRPr="002C7E33">
        <w:rPr>
          <w:b/>
          <w:bCs/>
        </w:rPr>
        <w:t xml:space="preserve">derived </w:t>
      </w:r>
      <w:r w:rsidR="00AB443F">
        <w:rPr>
          <w:b/>
          <w:bCs/>
        </w:rPr>
        <w:t>mainly</w:t>
      </w:r>
      <w:r w:rsidR="002C7E33">
        <w:rPr>
          <w:b/>
          <w:bCs/>
        </w:rPr>
        <w:t xml:space="preserve"> from </w:t>
      </w:r>
      <w:r w:rsidR="00323D74">
        <w:rPr>
          <w:b/>
          <w:bCs/>
        </w:rPr>
        <w:t>a</w:t>
      </w:r>
      <w:r w:rsidR="00E21F4E">
        <w:rPr>
          <w:b/>
          <w:bCs/>
        </w:rPr>
        <w:t xml:space="preserve">n increase in </w:t>
      </w:r>
      <w:r w:rsidR="00AB443F">
        <w:rPr>
          <w:b/>
          <w:bCs/>
        </w:rPr>
        <w:t>the foreign securities portfolio</w:t>
      </w:r>
      <w:r w:rsidR="00E71992">
        <w:rPr>
          <w:b/>
          <w:bCs/>
        </w:rPr>
        <w:t xml:space="preserve"> as a result of net investment in equities and </w:t>
      </w:r>
      <w:r w:rsidR="00AB443F">
        <w:rPr>
          <w:b/>
          <w:bCs/>
        </w:rPr>
        <w:t xml:space="preserve">growth in </w:t>
      </w:r>
      <w:r w:rsidR="00E21F4E">
        <w:rPr>
          <w:b/>
          <w:bCs/>
        </w:rPr>
        <w:t>reserve assets</w:t>
      </w:r>
      <w:r w:rsidR="00AB443F">
        <w:rPr>
          <w:b/>
          <w:bCs/>
        </w:rPr>
        <w:t>.</w:t>
      </w:r>
    </w:p>
    <w:p w:rsidR="007A1F22" w:rsidRDefault="00926D84" w:rsidP="00171330">
      <w:pPr>
        <w:pStyle w:val="regpar"/>
        <w:numPr>
          <w:ilvl w:val="0"/>
          <w:numId w:val="2"/>
        </w:numPr>
        <w:tabs>
          <w:tab w:val="clear" w:pos="720"/>
          <w:tab w:val="num" w:pos="360"/>
        </w:tabs>
        <w:ind w:left="360"/>
        <w:rPr>
          <w:b/>
          <w:bCs/>
        </w:rPr>
      </w:pPr>
      <w:r w:rsidRPr="00D01350">
        <w:rPr>
          <w:b/>
          <w:bCs/>
        </w:rPr>
        <w:t>Outstanding liabilities to abroad</w:t>
      </w:r>
      <w:r w:rsidR="002C518C" w:rsidRPr="00D01350">
        <w:rPr>
          <w:b/>
          <w:bCs/>
        </w:rPr>
        <w:t xml:space="preserve"> </w:t>
      </w:r>
      <w:r w:rsidR="006B0FD9" w:rsidRPr="00D01350">
        <w:rPr>
          <w:b/>
          <w:bCs/>
        </w:rPr>
        <w:t>in</w:t>
      </w:r>
      <w:r w:rsidR="00C71834" w:rsidRPr="00D01350">
        <w:rPr>
          <w:b/>
          <w:bCs/>
        </w:rPr>
        <w:t xml:space="preserve">creased </w:t>
      </w:r>
      <w:r w:rsidRPr="00D01350">
        <w:rPr>
          <w:b/>
          <w:bCs/>
        </w:rPr>
        <w:t xml:space="preserve">by </w:t>
      </w:r>
      <w:r w:rsidR="009A3450" w:rsidRPr="00D01350">
        <w:rPr>
          <w:b/>
          <w:bCs/>
        </w:rPr>
        <w:t>approximately $</w:t>
      </w:r>
      <w:r w:rsidR="003C5ED4">
        <w:rPr>
          <w:b/>
          <w:bCs/>
        </w:rPr>
        <w:t xml:space="preserve">25 </w:t>
      </w:r>
      <w:r w:rsidR="009A3450" w:rsidRPr="00D01350">
        <w:rPr>
          <w:b/>
          <w:bCs/>
        </w:rPr>
        <w:t>billion (</w:t>
      </w:r>
      <w:r w:rsidR="003C5ED4">
        <w:rPr>
          <w:b/>
          <w:bCs/>
        </w:rPr>
        <w:t xml:space="preserve">6 </w:t>
      </w:r>
      <w:r w:rsidR="009A3450" w:rsidRPr="00D01350">
        <w:rPr>
          <w:b/>
          <w:bCs/>
        </w:rPr>
        <w:t>percent)</w:t>
      </w:r>
      <w:r w:rsidR="003E5179" w:rsidRPr="00D01350">
        <w:rPr>
          <w:b/>
          <w:bCs/>
        </w:rPr>
        <w:t xml:space="preserve"> in the </w:t>
      </w:r>
      <w:r w:rsidR="00510B33">
        <w:rPr>
          <w:b/>
          <w:bCs/>
        </w:rPr>
        <w:t>first quarter</w:t>
      </w:r>
      <w:r w:rsidR="00E074A9" w:rsidRPr="00D01350">
        <w:rPr>
          <w:b/>
          <w:bCs/>
        </w:rPr>
        <w:t>, to about $</w:t>
      </w:r>
      <w:r w:rsidR="003C5ED4">
        <w:rPr>
          <w:b/>
          <w:bCs/>
        </w:rPr>
        <w:t xml:space="preserve">436 </w:t>
      </w:r>
      <w:r w:rsidR="00E074A9" w:rsidRPr="00D01350">
        <w:rPr>
          <w:b/>
          <w:bCs/>
        </w:rPr>
        <w:t xml:space="preserve">billion at the end of </w:t>
      </w:r>
      <w:r w:rsidR="006B0FD9" w:rsidRPr="00D01350">
        <w:rPr>
          <w:b/>
          <w:bCs/>
        </w:rPr>
        <w:t>the quarter</w:t>
      </w:r>
      <w:r w:rsidR="0043764C" w:rsidRPr="00D01350">
        <w:rPr>
          <w:b/>
          <w:bCs/>
        </w:rPr>
        <w:t>.</w:t>
      </w:r>
      <w:r w:rsidR="006B0FD9" w:rsidRPr="00D01350">
        <w:rPr>
          <w:b/>
          <w:bCs/>
        </w:rPr>
        <w:t xml:space="preserve"> </w:t>
      </w:r>
      <w:r w:rsidR="00404DAF" w:rsidRPr="00D01350">
        <w:rPr>
          <w:b/>
          <w:bCs/>
        </w:rPr>
        <w:t>T</w:t>
      </w:r>
      <w:r w:rsidR="001743E0" w:rsidRPr="00D01350">
        <w:rPr>
          <w:b/>
          <w:bCs/>
        </w:rPr>
        <w:t xml:space="preserve">he </w:t>
      </w:r>
      <w:r w:rsidR="006B0FD9" w:rsidRPr="00D01350">
        <w:rPr>
          <w:b/>
          <w:bCs/>
        </w:rPr>
        <w:t>in</w:t>
      </w:r>
      <w:r w:rsidR="007A4E6D" w:rsidRPr="00D01350">
        <w:rPr>
          <w:b/>
          <w:bCs/>
        </w:rPr>
        <w:t xml:space="preserve">crease </w:t>
      </w:r>
      <w:r w:rsidR="00020913" w:rsidRPr="00D01350">
        <w:rPr>
          <w:b/>
          <w:bCs/>
        </w:rPr>
        <w:t xml:space="preserve">derived </w:t>
      </w:r>
      <w:r w:rsidR="00404DAF" w:rsidRPr="00D01350">
        <w:rPr>
          <w:b/>
          <w:bCs/>
        </w:rPr>
        <w:t xml:space="preserve">primarily </w:t>
      </w:r>
      <w:r w:rsidR="00313F53">
        <w:rPr>
          <w:b/>
          <w:bCs/>
        </w:rPr>
        <w:t xml:space="preserve">from growth in the value of the portfolio of Israeli securities held by nonresidents as a result of </w:t>
      </w:r>
      <w:r w:rsidR="003C5ED4">
        <w:rPr>
          <w:b/>
          <w:bCs/>
        </w:rPr>
        <w:t xml:space="preserve">net investment in bonds and net </w:t>
      </w:r>
      <w:r w:rsidR="007A1F22">
        <w:rPr>
          <w:b/>
          <w:bCs/>
        </w:rPr>
        <w:t xml:space="preserve">direct investment. </w:t>
      </w:r>
    </w:p>
    <w:p w:rsidR="00DD15DC" w:rsidRPr="002C7E33" w:rsidRDefault="00173F17" w:rsidP="00171330">
      <w:pPr>
        <w:pStyle w:val="regpar"/>
        <w:numPr>
          <w:ilvl w:val="0"/>
          <w:numId w:val="2"/>
        </w:numPr>
        <w:tabs>
          <w:tab w:val="clear" w:pos="720"/>
          <w:tab w:val="num" w:pos="360"/>
        </w:tabs>
        <w:ind w:left="360"/>
        <w:rPr>
          <w:b/>
          <w:bCs/>
        </w:rPr>
      </w:pPr>
      <w:r w:rsidRPr="002C7E33">
        <w:rPr>
          <w:b/>
          <w:bCs/>
        </w:rPr>
        <w:t>Israel</w:t>
      </w:r>
      <w:r w:rsidR="001D53BC" w:rsidRPr="002C7E33">
        <w:rPr>
          <w:b/>
          <w:bCs/>
        </w:rPr>
        <w:t>’s s</w:t>
      </w:r>
      <w:r w:rsidRPr="002C7E33">
        <w:rPr>
          <w:b/>
          <w:bCs/>
        </w:rPr>
        <w:t xml:space="preserve">urplus of assets over liabilities vis-à-vis abroad </w:t>
      </w:r>
      <w:r w:rsidR="00313F53" w:rsidRPr="002C7E33">
        <w:rPr>
          <w:b/>
          <w:bCs/>
        </w:rPr>
        <w:t xml:space="preserve">in the </w:t>
      </w:r>
      <w:r w:rsidR="00510B33">
        <w:rPr>
          <w:b/>
          <w:bCs/>
        </w:rPr>
        <w:t>first quarter</w:t>
      </w:r>
      <w:r w:rsidR="00313F53">
        <w:rPr>
          <w:b/>
          <w:bCs/>
        </w:rPr>
        <w:t xml:space="preserve"> </w:t>
      </w:r>
      <w:r w:rsidR="00634F54">
        <w:rPr>
          <w:b/>
          <w:bCs/>
        </w:rPr>
        <w:t>in</w:t>
      </w:r>
      <w:r w:rsidRPr="002C7E33">
        <w:rPr>
          <w:b/>
          <w:bCs/>
        </w:rPr>
        <w:t>creased</w:t>
      </w:r>
      <w:r w:rsidR="00526B66" w:rsidRPr="002C7E33">
        <w:rPr>
          <w:b/>
          <w:bCs/>
        </w:rPr>
        <w:t xml:space="preserve"> by approximately $</w:t>
      </w:r>
      <w:r w:rsidR="00171330">
        <w:rPr>
          <w:b/>
          <w:bCs/>
        </w:rPr>
        <w:t>1.5</w:t>
      </w:r>
      <w:r w:rsidR="00313F53">
        <w:rPr>
          <w:b/>
          <w:bCs/>
        </w:rPr>
        <w:t xml:space="preserve"> </w:t>
      </w:r>
      <w:r w:rsidR="00526B66" w:rsidRPr="002C7E33">
        <w:rPr>
          <w:b/>
          <w:bCs/>
        </w:rPr>
        <w:t>billion (</w:t>
      </w:r>
      <w:r w:rsidR="00171330">
        <w:rPr>
          <w:b/>
          <w:bCs/>
        </w:rPr>
        <w:t xml:space="preserve">0.8 </w:t>
      </w:r>
      <w:r w:rsidR="00526B66" w:rsidRPr="002C7E33">
        <w:rPr>
          <w:b/>
          <w:bCs/>
        </w:rPr>
        <w:t>percent)</w:t>
      </w:r>
      <w:r w:rsidRPr="002C7E33">
        <w:rPr>
          <w:b/>
          <w:bCs/>
        </w:rPr>
        <w:t xml:space="preserve">, to about </w:t>
      </w:r>
      <w:r w:rsidRPr="00F82091">
        <w:rPr>
          <w:b/>
          <w:bCs/>
        </w:rPr>
        <w:t>$</w:t>
      </w:r>
      <w:r w:rsidR="00171330" w:rsidRPr="00F82091">
        <w:rPr>
          <w:b/>
          <w:bCs/>
        </w:rPr>
        <w:t>191</w:t>
      </w:r>
      <w:r w:rsidR="00313F53">
        <w:rPr>
          <w:b/>
          <w:bCs/>
        </w:rPr>
        <w:t xml:space="preserve"> </w:t>
      </w:r>
      <w:r w:rsidRPr="002C7E33">
        <w:rPr>
          <w:b/>
          <w:bCs/>
        </w:rPr>
        <w:t xml:space="preserve">billion at the end of </w:t>
      </w:r>
      <w:r w:rsidR="00510B33">
        <w:rPr>
          <w:b/>
          <w:bCs/>
        </w:rPr>
        <w:t>March</w:t>
      </w:r>
      <w:r w:rsidR="00404DAF">
        <w:rPr>
          <w:b/>
          <w:bCs/>
        </w:rPr>
        <w:t>.</w:t>
      </w:r>
      <w:r w:rsidR="001D407E" w:rsidRPr="002C7E33">
        <w:rPr>
          <w:b/>
          <w:bCs/>
        </w:rPr>
        <w:t xml:space="preserve"> </w:t>
      </w:r>
    </w:p>
    <w:p w:rsidR="00200E59" w:rsidRPr="002C7E33" w:rsidRDefault="00200E59" w:rsidP="00856F6E">
      <w:pPr>
        <w:pStyle w:val="regpar"/>
        <w:numPr>
          <w:ilvl w:val="0"/>
          <w:numId w:val="2"/>
        </w:numPr>
        <w:tabs>
          <w:tab w:val="clear" w:pos="720"/>
          <w:tab w:val="num" w:pos="360"/>
        </w:tabs>
        <w:ind w:left="360"/>
        <w:rPr>
          <w:b/>
          <w:bCs/>
        </w:rPr>
      </w:pPr>
      <w:r w:rsidRPr="002C7E33">
        <w:rPr>
          <w:b/>
          <w:bCs/>
        </w:rPr>
        <w:t xml:space="preserve">The surplus of assets over liabilities vis-à-vis abroad in debt instruments alone (negative net external debt) </w:t>
      </w:r>
      <w:r w:rsidR="00856F6E">
        <w:rPr>
          <w:b/>
          <w:bCs/>
        </w:rPr>
        <w:t>de</w:t>
      </w:r>
      <w:r w:rsidR="00526B66" w:rsidRPr="002C7E33">
        <w:rPr>
          <w:b/>
          <w:bCs/>
        </w:rPr>
        <w:t>crease</w:t>
      </w:r>
      <w:r w:rsidR="001743E0" w:rsidRPr="002C7E33">
        <w:rPr>
          <w:b/>
          <w:bCs/>
        </w:rPr>
        <w:t xml:space="preserve">d </w:t>
      </w:r>
      <w:r w:rsidR="00526B66" w:rsidRPr="002C7E33">
        <w:rPr>
          <w:b/>
          <w:bCs/>
        </w:rPr>
        <w:t>by $</w:t>
      </w:r>
      <w:r w:rsidR="00856F6E">
        <w:rPr>
          <w:b/>
          <w:bCs/>
        </w:rPr>
        <w:t xml:space="preserve">4.5 </w:t>
      </w:r>
      <w:r w:rsidR="00526B66" w:rsidRPr="002C7E33">
        <w:rPr>
          <w:b/>
          <w:bCs/>
        </w:rPr>
        <w:t xml:space="preserve">billion </w:t>
      </w:r>
      <w:r w:rsidR="005528B7" w:rsidRPr="002C7E33">
        <w:rPr>
          <w:b/>
          <w:bCs/>
        </w:rPr>
        <w:t>(</w:t>
      </w:r>
      <w:r w:rsidR="00856F6E">
        <w:rPr>
          <w:b/>
          <w:bCs/>
        </w:rPr>
        <w:t>2</w:t>
      </w:r>
      <w:r w:rsidR="00F5386B">
        <w:rPr>
          <w:b/>
          <w:bCs/>
        </w:rPr>
        <w:t xml:space="preserve"> </w:t>
      </w:r>
      <w:r w:rsidR="005528B7" w:rsidRPr="002C7E33">
        <w:rPr>
          <w:b/>
          <w:bCs/>
        </w:rPr>
        <w:t xml:space="preserve">percent) </w:t>
      </w:r>
      <w:r w:rsidR="001743E0" w:rsidRPr="002C7E33">
        <w:rPr>
          <w:b/>
          <w:bCs/>
        </w:rPr>
        <w:t xml:space="preserve">during the </w:t>
      </w:r>
      <w:r w:rsidR="00510B33">
        <w:rPr>
          <w:b/>
          <w:bCs/>
        </w:rPr>
        <w:t>first quarter</w:t>
      </w:r>
      <w:r w:rsidR="001743E0" w:rsidRPr="002C7E33">
        <w:rPr>
          <w:b/>
          <w:bCs/>
        </w:rPr>
        <w:t xml:space="preserve">, </w:t>
      </w:r>
      <w:r w:rsidR="00526B66" w:rsidRPr="002C7E33">
        <w:rPr>
          <w:b/>
          <w:bCs/>
        </w:rPr>
        <w:t xml:space="preserve">to </w:t>
      </w:r>
      <w:r w:rsidR="0005434B" w:rsidRPr="002C7E33">
        <w:rPr>
          <w:b/>
          <w:bCs/>
        </w:rPr>
        <w:t xml:space="preserve">approximately </w:t>
      </w:r>
      <w:r w:rsidRPr="002C7E33">
        <w:rPr>
          <w:b/>
          <w:bCs/>
        </w:rPr>
        <w:t>$</w:t>
      </w:r>
      <w:r w:rsidR="00856F6E">
        <w:rPr>
          <w:b/>
          <w:bCs/>
        </w:rPr>
        <w:t xml:space="preserve">198 </w:t>
      </w:r>
      <w:r w:rsidR="00DC727C" w:rsidRPr="002C7E33">
        <w:rPr>
          <w:b/>
          <w:bCs/>
        </w:rPr>
        <w:t>billion</w:t>
      </w:r>
      <w:r w:rsidR="00487293" w:rsidRPr="002C7E33">
        <w:rPr>
          <w:b/>
          <w:bCs/>
        </w:rPr>
        <w:t xml:space="preserve"> at the end of </w:t>
      </w:r>
      <w:r w:rsidR="00510B33">
        <w:rPr>
          <w:b/>
          <w:bCs/>
        </w:rPr>
        <w:t>March</w:t>
      </w:r>
      <w:r w:rsidRPr="002C7E33">
        <w:rPr>
          <w:b/>
          <w:bCs/>
        </w:rPr>
        <w:t>.</w:t>
      </w:r>
    </w:p>
    <w:p w:rsidR="00526B66" w:rsidRPr="0027195F" w:rsidRDefault="00526B66" w:rsidP="00055746">
      <w:pPr>
        <w:pStyle w:val="regpar"/>
        <w:numPr>
          <w:ilvl w:val="0"/>
          <w:numId w:val="2"/>
        </w:numPr>
        <w:tabs>
          <w:tab w:val="clear" w:pos="720"/>
          <w:tab w:val="num" w:pos="360"/>
        </w:tabs>
        <w:ind w:left="360"/>
        <w:rPr>
          <w:b/>
          <w:bCs/>
        </w:rPr>
      </w:pPr>
      <w:r w:rsidRPr="0027195F">
        <w:rPr>
          <w:b/>
          <w:bCs/>
        </w:rPr>
        <w:t xml:space="preserve">The ratio of gross external debt to GDP </w:t>
      </w:r>
      <w:r w:rsidR="00D75029" w:rsidRPr="0027195F">
        <w:rPr>
          <w:b/>
          <w:bCs/>
        </w:rPr>
        <w:t>in</w:t>
      </w:r>
      <w:r w:rsidR="001A6BB8" w:rsidRPr="0027195F">
        <w:rPr>
          <w:b/>
          <w:bCs/>
        </w:rPr>
        <w:t xml:space="preserve">creased </w:t>
      </w:r>
      <w:r w:rsidRPr="0027195F">
        <w:rPr>
          <w:b/>
          <w:bCs/>
        </w:rPr>
        <w:t xml:space="preserve">by </w:t>
      </w:r>
      <w:r w:rsidR="00856F6E">
        <w:rPr>
          <w:b/>
          <w:bCs/>
        </w:rPr>
        <w:t xml:space="preserve">an anomalous rate of 2.5 </w:t>
      </w:r>
      <w:r w:rsidRPr="0027195F">
        <w:rPr>
          <w:b/>
          <w:bCs/>
        </w:rPr>
        <w:t xml:space="preserve">percentage points during the course of the </w:t>
      </w:r>
      <w:r w:rsidR="00510B33">
        <w:rPr>
          <w:b/>
          <w:bCs/>
        </w:rPr>
        <w:t>first quarter</w:t>
      </w:r>
      <w:r w:rsidRPr="0027195F">
        <w:rPr>
          <w:b/>
          <w:bCs/>
        </w:rPr>
        <w:t xml:space="preserve">, to </w:t>
      </w:r>
      <w:r w:rsidR="00A914CA" w:rsidRPr="0027195F">
        <w:rPr>
          <w:b/>
          <w:bCs/>
        </w:rPr>
        <w:t>3</w:t>
      </w:r>
      <w:r w:rsidR="00856F6E">
        <w:rPr>
          <w:b/>
          <w:bCs/>
        </w:rPr>
        <w:t>5</w:t>
      </w:r>
      <w:r w:rsidR="007A0FB9">
        <w:rPr>
          <w:b/>
          <w:bCs/>
        </w:rPr>
        <w:t xml:space="preserve"> </w:t>
      </w:r>
      <w:r w:rsidRPr="0027195F">
        <w:rPr>
          <w:b/>
          <w:bCs/>
        </w:rPr>
        <w:t xml:space="preserve">percent at the end of </w:t>
      </w:r>
      <w:r w:rsidR="00510B33">
        <w:rPr>
          <w:b/>
          <w:bCs/>
        </w:rPr>
        <w:t>March</w:t>
      </w:r>
      <w:r w:rsidRPr="0027195F">
        <w:rPr>
          <w:b/>
          <w:bCs/>
        </w:rPr>
        <w:t xml:space="preserve">. The </w:t>
      </w:r>
      <w:r w:rsidR="00D75029" w:rsidRPr="0027195F">
        <w:rPr>
          <w:b/>
          <w:bCs/>
        </w:rPr>
        <w:t xml:space="preserve">increase </w:t>
      </w:r>
      <w:r w:rsidRPr="0027195F">
        <w:rPr>
          <w:b/>
          <w:bCs/>
        </w:rPr>
        <w:t>in the debt</w:t>
      </w:r>
      <w:r w:rsidR="007D7A6B" w:rsidRPr="0027195F">
        <w:rPr>
          <w:b/>
          <w:bCs/>
        </w:rPr>
        <w:t xml:space="preserve"> </w:t>
      </w:r>
      <w:r w:rsidRPr="0027195F">
        <w:rPr>
          <w:b/>
          <w:bCs/>
        </w:rPr>
        <w:t>to</w:t>
      </w:r>
      <w:r w:rsidR="007D7A6B" w:rsidRPr="0027195F">
        <w:rPr>
          <w:b/>
          <w:bCs/>
        </w:rPr>
        <w:t xml:space="preserve"> </w:t>
      </w:r>
      <w:r w:rsidRPr="0027195F">
        <w:rPr>
          <w:b/>
          <w:bCs/>
        </w:rPr>
        <w:t>GDP ratio reflected a</w:t>
      </w:r>
      <w:r w:rsidR="0027195F" w:rsidRPr="0027195F">
        <w:rPr>
          <w:b/>
          <w:bCs/>
        </w:rPr>
        <w:t xml:space="preserve">n </w:t>
      </w:r>
      <w:r w:rsidRPr="0027195F">
        <w:rPr>
          <w:b/>
          <w:bCs/>
        </w:rPr>
        <w:t xml:space="preserve">increase </w:t>
      </w:r>
      <w:r w:rsidR="0027195F" w:rsidRPr="0027195F">
        <w:rPr>
          <w:b/>
          <w:bCs/>
        </w:rPr>
        <w:t xml:space="preserve">of </w:t>
      </w:r>
      <w:r w:rsidR="00856F6E">
        <w:rPr>
          <w:b/>
          <w:bCs/>
        </w:rPr>
        <w:t xml:space="preserve">10 </w:t>
      </w:r>
      <w:r w:rsidR="0027195F" w:rsidRPr="0027195F">
        <w:rPr>
          <w:b/>
          <w:bCs/>
        </w:rPr>
        <w:t>percent</w:t>
      </w:r>
      <w:r w:rsidR="00055746">
        <w:rPr>
          <w:b/>
          <w:bCs/>
        </w:rPr>
        <w:t xml:space="preserve"> </w:t>
      </w:r>
      <w:r w:rsidR="00D75029" w:rsidRPr="0027195F">
        <w:rPr>
          <w:b/>
          <w:bCs/>
        </w:rPr>
        <w:t xml:space="preserve">in the balance of external debt </w:t>
      </w:r>
      <w:r w:rsidR="00856F6E">
        <w:rPr>
          <w:b/>
          <w:bCs/>
        </w:rPr>
        <w:t xml:space="preserve">(mainly investments by </w:t>
      </w:r>
      <w:r w:rsidR="00856F6E" w:rsidRPr="002D4092">
        <w:rPr>
          <w:b/>
          <w:bCs/>
        </w:rPr>
        <w:t xml:space="preserve">nonresidents in nominal bonds) </w:t>
      </w:r>
      <w:r w:rsidR="009B6779">
        <w:rPr>
          <w:b/>
          <w:bCs/>
        </w:rPr>
        <w:t xml:space="preserve">and </w:t>
      </w:r>
      <w:r w:rsidR="0027195F" w:rsidRPr="002D4092">
        <w:rPr>
          <w:b/>
          <w:bCs/>
        </w:rPr>
        <w:t xml:space="preserve">an increase of </w:t>
      </w:r>
      <w:r w:rsidR="00055746">
        <w:rPr>
          <w:b/>
          <w:bCs/>
        </w:rPr>
        <w:t xml:space="preserve">only </w:t>
      </w:r>
      <w:r w:rsidR="007A0FB9" w:rsidRPr="002D4092">
        <w:rPr>
          <w:b/>
          <w:bCs/>
        </w:rPr>
        <w:t xml:space="preserve">2 </w:t>
      </w:r>
      <w:r w:rsidR="0027195F" w:rsidRPr="002D4092">
        <w:rPr>
          <w:b/>
          <w:bCs/>
        </w:rPr>
        <w:t xml:space="preserve">percent in </w:t>
      </w:r>
      <w:r w:rsidR="00003030" w:rsidRPr="002D4092">
        <w:rPr>
          <w:b/>
          <w:bCs/>
        </w:rPr>
        <w:t xml:space="preserve">GDP </w:t>
      </w:r>
      <w:r w:rsidR="00D75029" w:rsidRPr="002D4092">
        <w:rPr>
          <w:b/>
          <w:bCs/>
        </w:rPr>
        <w:t>(in dollar terms)</w:t>
      </w:r>
      <w:r w:rsidRPr="002D4092">
        <w:rPr>
          <w:b/>
          <w:bCs/>
        </w:rPr>
        <w:t>.</w:t>
      </w:r>
    </w:p>
    <w:p w:rsidR="00526B66" w:rsidRPr="002C7E33" w:rsidRDefault="00526B66" w:rsidP="00526B66">
      <w:pPr>
        <w:pStyle w:val="regpar"/>
        <w:ind w:left="360" w:firstLine="0"/>
        <w:rPr>
          <w:b/>
          <w:bCs/>
        </w:rPr>
      </w:pPr>
    </w:p>
    <w:p w:rsidR="001743E0" w:rsidRPr="002C7E33" w:rsidRDefault="001743E0" w:rsidP="001743E0">
      <w:pPr>
        <w:pStyle w:val="regpar"/>
        <w:ind w:left="360" w:firstLine="0"/>
        <w:rPr>
          <w:b/>
          <w:bCs/>
        </w:rPr>
      </w:pPr>
    </w:p>
    <w:p w:rsidR="00903E7A" w:rsidRPr="002C7E33" w:rsidRDefault="00200E59" w:rsidP="00200E59">
      <w:pPr>
        <w:pStyle w:val="regpar"/>
        <w:ind w:left="360" w:firstLine="0"/>
        <w:rPr>
          <w:b/>
          <w:bCs/>
        </w:rPr>
      </w:pPr>
      <w:r w:rsidRPr="002C7E33">
        <w:rPr>
          <w:b/>
          <w:bCs/>
        </w:rPr>
        <w:t xml:space="preserve"> </w:t>
      </w:r>
    </w:p>
    <w:p w:rsidR="00903E7A" w:rsidRPr="002C7E33" w:rsidRDefault="00903E7A">
      <w:pPr>
        <w:bidi w:val="0"/>
        <w:rPr>
          <w:rFonts w:ascii="Times" w:hAnsi="Times" w:cs="Times"/>
          <w:b/>
          <w:bCs/>
        </w:rPr>
      </w:pPr>
      <w:r w:rsidRPr="002C7E33">
        <w:rPr>
          <w:b/>
          <w:bCs/>
        </w:rPr>
        <w:br w:type="page"/>
      </w:r>
    </w:p>
    <w:p w:rsidR="00DD15DC" w:rsidRPr="002C7E33" w:rsidRDefault="00DD15DC" w:rsidP="00200E59">
      <w:pPr>
        <w:pStyle w:val="regpar"/>
        <w:ind w:left="360" w:firstLine="0"/>
        <w:rPr>
          <w:b/>
          <w:bCs/>
        </w:rPr>
      </w:pPr>
    </w:p>
    <w:p w:rsidR="00FD7D38" w:rsidRPr="002C7E33" w:rsidRDefault="00FD7D38" w:rsidP="00597DAB">
      <w:pPr>
        <w:pStyle w:val="af3"/>
        <w:rPr>
          <w:u w:val="none"/>
          <w:rtl/>
        </w:rPr>
      </w:pPr>
      <w:r w:rsidRPr="002C7E33">
        <w:rPr>
          <w:u w:val="none"/>
        </w:rPr>
        <w:t xml:space="preserve">Table 1: Asset and liability balances, and changes </w:t>
      </w:r>
      <w:r w:rsidR="0064729F" w:rsidRPr="002C7E33">
        <w:rPr>
          <w:u w:val="none"/>
        </w:rPr>
        <w:t>in them</w:t>
      </w:r>
    </w:p>
    <w:p w:rsidR="00DD15DC" w:rsidRPr="002C7E33" w:rsidRDefault="00DD15DC" w:rsidP="00DD15DC">
      <w:pPr>
        <w:pStyle w:val="regpar"/>
        <w:ind w:firstLine="0"/>
        <w:rPr>
          <w:b/>
          <w:bCs/>
        </w:rPr>
      </w:pPr>
    </w:p>
    <w:p w:rsidR="006657CF" w:rsidRDefault="00A321F3" w:rsidP="006657CF">
      <w:pPr>
        <w:keepNext/>
        <w:autoSpaceDE w:val="0"/>
        <w:autoSpaceDN w:val="0"/>
        <w:adjustRightInd w:val="0"/>
        <w:ind w:left="-477"/>
      </w:pPr>
      <w:r w:rsidRPr="00A321F3">
        <w:rPr>
          <w:noProof/>
          <w:rtl/>
        </w:rPr>
        <w:drawing>
          <wp:inline distT="0" distB="0" distL="0" distR="0">
            <wp:extent cx="6014906" cy="2684145"/>
            <wp:effectExtent l="0" t="0" r="5080" b="1905"/>
            <wp:docPr id="6" name="Picture 6" descr="A table detailing the balance of Israel’s assets and liabilities vis-à-vis abroad, and the changes in those categories.  The table can be found in the Excel file attached to this notice in the “Table” worksheet." title="Table 1: Balance of Assets and Liabilities and changes in the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6748" cy="2689430"/>
                    </a:xfrm>
                    <a:prstGeom prst="rect">
                      <a:avLst/>
                    </a:prstGeom>
                    <a:noFill/>
                    <a:ln>
                      <a:noFill/>
                    </a:ln>
                  </pic:spPr>
                </pic:pic>
              </a:graphicData>
            </a:graphic>
          </wp:inline>
        </w:drawing>
      </w:r>
    </w:p>
    <w:p w:rsidR="00EF040F" w:rsidRPr="00EF040F" w:rsidRDefault="00EF040F" w:rsidP="00DF76E8">
      <w:pPr>
        <w:pStyle w:val="af7"/>
        <w:ind w:left="5040"/>
        <w:jc w:val="both"/>
        <w:rPr>
          <w:rFonts w:ascii="David" w:hAnsi="David" w:cs="David"/>
          <w:color w:val="auto"/>
          <w:sz w:val="16"/>
          <w:szCs w:val="16"/>
          <w:rtl/>
        </w:rPr>
      </w:pPr>
      <w:r w:rsidRPr="006657CF">
        <w:rPr>
          <w:rFonts w:ascii="David" w:hAnsi="David" w:cs="David"/>
          <w:color w:val="auto"/>
          <w:sz w:val="16"/>
          <w:szCs w:val="16"/>
        </w:rPr>
        <w:t xml:space="preserve">Source: </w:t>
      </w:r>
      <w:r>
        <w:rPr>
          <w:rFonts w:ascii="David" w:hAnsi="David" w:cs="David"/>
          <w:color w:val="auto"/>
          <w:sz w:val="16"/>
          <w:szCs w:val="16"/>
        </w:rPr>
        <w:t xml:space="preserve">Bank of Israel </w:t>
      </w:r>
      <w:r w:rsidR="00DF76E8">
        <w:rPr>
          <w:rFonts w:ascii="David" w:hAnsi="David" w:cs="David"/>
          <w:color w:val="auto"/>
          <w:sz w:val="16"/>
          <w:szCs w:val="16"/>
        </w:rPr>
        <w:t xml:space="preserve">data and </w:t>
      </w:r>
      <w:r>
        <w:rPr>
          <w:rFonts w:ascii="David" w:hAnsi="David" w:cs="David"/>
          <w:color w:val="auto"/>
          <w:sz w:val="16"/>
          <w:szCs w:val="16"/>
        </w:rPr>
        <w:t>compilation</w:t>
      </w:r>
      <w:r w:rsidR="00DF76E8">
        <w:rPr>
          <w:rFonts w:ascii="David" w:hAnsi="David" w:cs="David"/>
          <w:color w:val="auto"/>
          <w:sz w:val="16"/>
          <w:szCs w:val="16"/>
        </w:rPr>
        <w:t xml:space="preserve">s </w:t>
      </w:r>
      <w:r w:rsidR="00DF76E8" w:rsidRPr="00DF76E8">
        <w:rPr>
          <w:rFonts w:ascii="David" w:hAnsi="David" w:cs="David"/>
          <w:color w:val="auto"/>
          <w:sz w:val="16"/>
          <w:szCs w:val="16"/>
          <w:vertAlign w:val="superscript"/>
        </w:rPr>
        <w:t>i</w:t>
      </w:r>
      <w:r w:rsidR="00DF76E8">
        <w:rPr>
          <w:rFonts w:ascii="David" w:hAnsi="David" w:cs="David"/>
          <w:color w:val="auto"/>
          <w:sz w:val="16"/>
          <w:szCs w:val="16"/>
        </w:rPr>
        <w:t xml:space="preserve">              </w:t>
      </w:r>
    </w:p>
    <w:p w:rsidR="00EF040F" w:rsidRDefault="00EF040F" w:rsidP="00EF040F">
      <w:pPr>
        <w:pStyle w:val="af7"/>
        <w:ind w:left="5040"/>
        <w:jc w:val="both"/>
        <w:rPr>
          <w:rFonts w:ascii="David" w:hAnsi="David" w:cs="David"/>
          <w:color w:val="auto"/>
          <w:sz w:val="16"/>
          <w:szCs w:val="16"/>
        </w:rPr>
      </w:pPr>
    </w:p>
    <w:p w:rsidR="00763F37" w:rsidRPr="002C7E33" w:rsidRDefault="00763F37" w:rsidP="003020E4">
      <w:pPr>
        <w:pStyle w:val="regpar"/>
        <w:numPr>
          <w:ilvl w:val="0"/>
          <w:numId w:val="4"/>
        </w:numPr>
        <w:rPr>
          <w:b/>
          <w:bCs/>
        </w:rPr>
      </w:pPr>
      <w:r w:rsidRPr="002C7E33">
        <w:rPr>
          <w:b/>
          <w:bCs/>
        </w:rPr>
        <w:t>The</w:t>
      </w:r>
      <w:r w:rsidR="003020E4" w:rsidRPr="002C7E33">
        <w:rPr>
          <w:b/>
          <w:bCs/>
        </w:rPr>
        <w:t xml:space="preserve"> balance</w:t>
      </w:r>
      <w:r w:rsidRPr="002C7E33">
        <w:rPr>
          <w:b/>
          <w:bCs/>
        </w:rPr>
        <w:t xml:space="preserve"> of Israel’s assets abroad</w:t>
      </w:r>
    </w:p>
    <w:p w:rsidR="007663DC" w:rsidRPr="00523DB3" w:rsidRDefault="00793279" w:rsidP="006118DC">
      <w:pPr>
        <w:pStyle w:val="regpar"/>
        <w:ind w:firstLine="0"/>
      </w:pPr>
      <w:r w:rsidRPr="00523DB3">
        <w:t xml:space="preserve">In the </w:t>
      </w:r>
      <w:r w:rsidR="00510B33">
        <w:t>first quarter</w:t>
      </w:r>
      <w:r w:rsidRPr="00523DB3">
        <w:t xml:space="preserve"> of </w:t>
      </w:r>
      <w:r w:rsidR="006118DC">
        <w:t>2021</w:t>
      </w:r>
      <w:r w:rsidRPr="00523DB3">
        <w:t xml:space="preserve">, </w:t>
      </w:r>
      <w:r w:rsidR="005D04F7">
        <w:t xml:space="preserve">the </w:t>
      </w:r>
      <w:r w:rsidRPr="00523DB3">
        <w:t xml:space="preserve">assets held abroad by Israeli residents </w:t>
      </w:r>
      <w:r w:rsidR="007663DC" w:rsidRPr="00523DB3">
        <w:t>in</w:t>
      </w:r>
      <w:r w:rsidRPr="00523DB3">
        <w:t>creased by about $</w:t>
      </w:r>
      <w:r w:rsidR="006118DC">
        <w:t>27</w:t>
      </w:r>
      <w:r w:rsidR="00EC7931">
        <w:t xml:space="preserve"> </w:t>
      </w:r>
      <w:r w:rsidRPr="00523DB3">
        <w:t>billion (</w:t>
      </w:r>
      <w:r w:rsidR="006118DC">
        <w:t>4</w:t>
      </w:r>
      <w:r w:rsidR="004D6650">
        <w:t xml:space="preserve"> </w:t>
      </w:r>
      <w:r w:rsidRPr="00523DB3">
        <w:t>percent) to about $</w:t>
      </w:r>
      <w:r w:rsidR="006118DC">
        <w:t xml:space="preserve">627 </w:t>
      </w:r>
      <w:r w:rsidR="00EC7931">
        <w:t>b</w:t>
      </w:r>
      <w:r w:rsidRPr="00523DB3">
        <w:t xml:space="preserve">illion at the end of </w:t>
      </w:r>
      <w:r w:rsidR="00510B33">
        <w:t>March</w:t>
      </w:r>
      <w:r w:rsidRPr="00523DB3">
        <w:t xml:space="preserve">. </w:t>
      </w:r>
    </w:p>
    <w:p w:rsidR="008345D0" w:rsidRPr="004D6650" w:rsidRDefault="007663DC" w:rsidP="004D6650">
      <w:pPr>
        <w:pStyle w:val="regpar"/>
        <w:ind w:firstLine="0"/>
      </w:pPr>
      <w:r w:rsidRPr="004D6650">
        <w:t xml:space="preserve">The increase in the balance derived </w:t>
      </w:r>
      <w:r w:rsidR="004D6650" w:rsidRPr="004D6650">
        <w:t xml:space="preserve">mainly </w:t>
      </w:r>
      <w:r w:rsidRPr="004D6650">
        <w:t xml:space="preserve">from </w:t>
      </w:r>
      <w:r w:rsidR="008345D0" w:rsidRPr="004D6650">
        <w:t xml:space="preserve">an increase in </w:t>
      </w:r>
      <w:r w:rsidR="004D6650" w:rsidRPr="004D6650">
        <w:t>the value of the foreign securities portfolio</w:t>
      </w:r>
      <w:r w:rsidR="004D6650">
        <w:t xml:space="preserve"> and </w:t>
      </w:r>
      <w:r w:rsidR="004D6650" w:rsidRPr="004D6650">
        <w:t>growth in reserve assets.</w:t>
      </w:r>
    </w:p>
    <w:p w:rsidR="00C12D14" w:rsidRPr="00C45BD6" w:rsidRDefault="00CA56A4" w:rsidP="0042520D">
      <w:pPr>
        <w:pStyle w:val="regpar"/>
        <w:numPr>
          <w:ilvl w:val="0"/>
          <w:numId w:val="6"/>
        </w:numPr>
        <w:ind w:left="426"/>
        <w:rPr>
          <w:rFonts w:ascii="Times New Roman" w:hAnsi="Times New Roman" w:cs="Times New Roman"/>
        </w:rPr>
      </w:pPr>
      <w:r w:rsidRPr="008771F5">
        <w:rPr>
          <w:rFonts w:ascii="Times New Roman" w:hAnsi="Times New Roman" w:cs="Times New Roman"/>
          <w:b/>
          <w:bCs/>
        </w:rPr>
        <w:t>The value of direct investment</w:t>
      </w:r>
      <w:r w:rsidR="00B15E6B" w:rsidRPr="008771F5">
        <w:rPr>
          <w:rFonts w:ascii="Times New Roman" w:hAnsi="Times New Roman" w:cs="Times New Roman"/>
          <w:b/>
          <w:bCs/>
        </w:rPr>
        <w:t>s</w:t>
      </w:r>
      <w:r w:rsidRPr="008771F5">
        <w:rPr>
          <w:rFonts w:ascii="Times New Roman" w:hAnsi="Times New Roman" w:cs="Times New Roman"/>
          <w:b/>
          <w:bCs/>
        </w:rPr>
        <w:t xml:space="preserve"> </w:t>
      </w:r>
      <w:r w:rsidRPr="008771F5">
        <w:rPr>
          <w:rFonts w:ascii="Times New Roman" w:hAnsi="Times New Roman" w:cs="Times New Roman"/>
        </w:rPr>
        <w:t xml:space="preserve">in the </w:t>
      </w:r>
      <w:r w:rsidR="00510B33">
        <w:rPr>
          <w:rFonts w:ascii="Times New Roman" w:hAnsi="Times New Roman" w:cs="Times New Roman"/>
        </w:rPr>
        <w:t>first quarter</w:t>
      </w:r>
      <w:r w:rsidR="0042520D">
        <w:rPr>
          <w:rFonts w:ascii="Times New Roman" w:hAnsi="Times New Roman" w:cs="Times New Roman"/>
        </w:rPr>
        <w:t xml:space="preserve"> remained similar to that of the previous quarter, </w:t>
      </w:r>
      <w:r w:rsidRPr="008771F5">
        <w:rPr>
          <w:rFonts w:ascii="Times New Roman" w:hAnsi="Times New Roman" w:cs="Times New Roman"/>
        </w:rPr>
        <w:t xml:space="preserve">mainly </w:t>
      </w:r>
      <w:r w:rsidR="00FC69CC">
        <w:rPr>
          <w:rFonts w:ascii="Times New Roman" w:hAnsi="Times New Roman" w:cs="Times New Roman"/>
        </w:rPr>
        <w:t xml:space="preserve">as </w:t>
      </w:r>
      <w:r w:rsidRPr="008771F5">
        <w:rPr>
          <w:rFonts w:ascii="Times New Roman" w:hAnsi="Times New Roman" w:cs="Times New Roman"/>
        </w:rPr>
        <w:t xml:space="preserve">a result of </w:t>
      </w:r>
      <w:r w:rsidR="0042520D">
        <w:rPr>
          <w:rFonts w:ascii="Times New Roman" w:hAnsi="Times New Roman" w:cs="Times New Roman"/>
        </w:rPr>
        <w:t>an increase in owners’ loans that was nearly fully offset by a decrease in direct investment in share capital</w:t>
      </w:r>
      <w:r w:rsidR="00D63317" w:rsidRPr="00C45BD6">
        <w:rPr>
          <w:rFonts w:ascii="Times New Roman" w:hAnsi="Times New Roman" w:cs="Times New Roman"/>
        </w:rPr>
        <w:t>.</w:t>
      </w:r>
    </w:p>
    <w:p w:rsidR="00776D4B" w:rsidRPr="00C12D14" w:rsidRDefault="00C12D14" w:rsidP="0042520D">
      <w:pPr>
        <w:pStyle w:val="regpar"/>
        <w:numPr>
          <w:ilvl w:val="0"/>
          <w:numId w:val="6"/>
        </w:numPr>
        <w:ind w:left="426"/>
        <w:rPr>
          <w:rFonts w:ascii="Times New Roman" w:hAnsi="Times New Roman" w:cs="Times New Roman"/>
        </w:rPr>
      </w:pPr>
      <w:r w:rsidRPr="007B4880">
        <w:rPr>
          <w:rFonts w:ascii="Times New Roman" w:hAnsi="Times New Roman" w:cs="Times New Roman"/>
          <w:b/>
          <w:bCs/>
        </w:rPr>
        <w:t>The value of the securities portfolio</w:t>
      </w:r>
      <w:r w:rsidRPr="00C12D14">
        <w:rPr>
          <w:rFonts w:ascii="Times New Roman" w:hAnsi="Times New Roman" w:cs="Times New Roman"/>
        </w:rPr>
        <w:t xml:space="preserve"> </w:t>
      </w:r>
      <w:r w:rsidR="002D1DB5">
        <w:rPr>
          <w:rFonts w:ascii="Times New Roman" w:hAnsi="Times New Roman" w:cs="Times New Roman"/>
        </w:rPr>
        <w:t>in</w:t>
      </w:r>
      <w:r w:rsidRPr="00C12D14">
        <w:rPr>
          <w:rFonts w:ascii="Times New Roman" w:hAnsi="Times New Roman" w:cs="Times New Roman"/>
        </w:rPr>
        <w:t xml:space="preserve">creased during the </w:t>
      </w:r>
      <w:r w:rsidR="00510B33">
        <w:rPr>
          <w:rFonts w:ascii="Times New Roman" w:hAnsi="Times New Roman" w:cs="Times New Roman"/>
        </w:rPr>
        <w:t>first quarter</w:t>
      </w:r>
      <w:r w:rsidRPr="00C12D14">
        <w:rPr>
          <w:rFonts w:ascii="Times New Roman" w:hAnsi="Times New Roman" w:cs="Times New Roman"/>
        </w:rPr>
        <w:t xml:space="preserve"> by about $</w:t>
      </w:r>
      <w:r w:rsidR="0042520D">
        <w:rPr>
          <w:rFonts w:ascii="Times New Roman" w:hAnsi="Times New Roman" w:cs="Times New Roman"/>
        </w:rPr>
        <w:t xml:space="preserve">12 </w:t>
      </w:r>
      <w:r w:rsidRPr="00C12D14">
        <w:rPr>
          <w:rFonts w:ascii="Times New Roman" w:hAnsi="Times New Roman" w:cs="Times New Roman"/>
        </w:rPr>
        <w:t>billion (</w:t>
      </w:r>
      <w:r w:rsidR="0042520D">
        <w:rPr>
          <w:rFonts w:ascii="Times New Roman" w:hAnsi="Times New Roman" w:cs="Times New Roman"/>
        </w:rPr>
        <w:t xml:space="preserve">6 </w:t>
      </w:r>
      <w:r w:rsidRPr="00C12D14">
        <w:rPr>
          <w:rFonts w:ascii="Times New Roman" w:hAnsi="Times New Roman" w:cs="Times New Roman"/>
        </w:rPr>
        <w:t xml:space="preserve">percent) mainly as a result of </w:t>
      </w:r>
      <w:r w:rsidR="002D1DB5">
        <w:rPr>
          <w:rFonts w:ascii="Times New Roman" w:hAnsi="Times New Roman" w:cs="Times New Roman"/>
        </w:rPr>
        <w:t xml:space="preserve">increases </w:t>
      </w:r>
      <w:r w:rsidRPr="00C12D14">
        <w:rPr>
          <w:rFonts w:ascii="Times New Roman" w:hAnsi="Times New Roman" w:cs="Times New Roman"/>
        </w:rPr>
        <w:t xml:space="preserve">in prices of foreign </w:t>
      </w:r>
      <w:r w:rsidR="002D1DB5">
        <w:rPr>
          <w:rFonts w:ascii="Times New Roman" w:hAnsi="Times New Roman" w:cs="Times New Roman"/>
        </w:rPr>
        <w:t xml:space="preserve">securities </w:t>
      </w:r>
      <w:r w:rsidR="0042520D">
        <w:rPr>
          <w:rFonts w:ascii="Times New Roman" w:hAnsi="Times New Roman" w:cs="Times New Roman"/>
        </w:rPr>
        <w:t xml:space="preserve">by </w:t>
      </w:r>
      <w:r w:rsidR="002D1DB5">
        <w:rPr>
          <w:rFonts w:ascii="Times New Roman" w:hAnsi="Times New Roman" w:cs="Times New Roman"/>
        </w:rPr>
        <w:t>approximately $</w:t>
      </w:r>
      <w:r w:rsidR="0042520D">
        <w:rPr>
          <w:rFonts w:ascii="Times New Roman" w:hAnsi="Times New Roman" w:cs="Times New Roman"/>
        </w:rPr>
        <w:t xml:space="preserve">7 </w:t>
      </w:r>
      <w:r w:rsidR="002D1DB5">
        <w:rPr>
          <w:rFonts w:ascii="Times New Roman" w:hAnsi="Times New Roman" w:cs="Times New Roman"/>
        </w:rPr>
        <w:t>billion (</w:t>
      </w:r>
      <w:r w:rsidR="0042520D">
        <w:rPr>
          <w:rFonts w:ascii="Times New Roman" w:hAnsi="Times New Roman" w:cs="Times New Roman"/>
        </w:rPr>
        <w:t xml:space="preserve">3 </w:t>
      </w:r>
      <w:r w:rsidRPr="00C12D14">
        <w:rPr>
          <w:rFonts w:ascii="Times New Roman" w:hAnsi="Times New Roman" w:cs="Times New Roman"/>
        </w:rPr>
        <w:t>percent of the balance of financial investment</w:t>
      </w:r>
      <w:r w:rsidR="005D04F7">
        <w:rPr>
          <w:rFonts w:ascii="Times New Roman" w:hAnsi="Times New Roman" w:cs="Times New Roman"/>
        </w:rPr>
        <w:t>s</w:t>
      </w:r>
      <w:r w:rsidR="002D1DB5">
        <w:rPr>
          <w:rFonts w:ascii="Times New Roman" w:hAnsi="Times New Roman" w:cs="Times New Roman"/>
        </w:rPr>
        <w:t>)</w:t>
      </w:r>
      <w:r w:rsidR="00E66E08">
        <w:rPr>
          <w:rFonts w:ascii="Times New Roman" w:hAnsi="Times New Roman" w:cs="Times New Roman"/>
        </w:rPr>
        <w:t xml:space="preserve">. </w:t>
      </w:r>
      <w:r w:rsidR="002D1DB5">
        <w:rPr>
          <w:rFonts w:ascii="Times New Roman" w:hAnsi="Times New Roman" w:cs="Times New Roman"/>
        </w:rPr>
        <w:t xml:space="preserve">This follows the </w:t>
      </w:r>
      <w:r w:rsidR="005D04F7">
        <w:rPr>
          <w:rFonts w:ascii="Times New Roman" w:hAnsi="Times New Roman" w:cs="Times New Roman"/>
        </w:rPr>
        <w:t xml:space="preserve">price increases in the </w:t>
      </w:r>
      <w:r w:rsidR="002D1DB5">
        <w:rPr>
          <w:rFonts w:ascii="Times New Roman" w:hAnsi="Times New Roman" w:cs="Times New Roman"/>
        </w:rPr>
        <w:t xml:space="preserve">previous quarter </w:t>
      </w:r>
      <w:r w:rsidR="0060668A">
        <w:rPr>
          <w:rFonts w:ascii="Times New Roman" w:hAnsi="Times New Roman" w:cs="Times New Roman"/>
        </w:rPr>
        <w:t xml:space="preserve">and </w:t>
      </w:r>
      <w:r w:rsidR="00362E59">
        <w:rPr>
          <w:rFonts w:ascii="Times New Roman" w:hAnsi="Times New Roman" w:cs="Times New Roman"/>
        </w:rPr>
        <w:t xml:space="preserve">is </w:t>
      </w:r>
      <w:r w:rsidR="0060668A">
        <w:rPr>
          <w:rFonts w:ascii="Times New Roman" w:hAnsi="Times New Roman" w:cs="Times New Roman"/>
        </w:rPr>
        <w:t>in line with the incre</w:t>
      </w:r>
      <w:r w:rsidR="006461B3">
        <w:rPr>
          <w:rFonts w:ascii="Times New Roman" w:hAnsi="Times New Roman" w:cs="Times New Roman"/>
        </w:rPr>
        <w:t>a</w:t>
      </w:r>
      <w:r w:rsidR="0060668A">
        <w:rPr>
          <w:rFonts w:ascii="Times New Roman" w:hAnsi="Times New Roman" w:cs="Times New Roman"/>
        </w:rPr>
        <w:t>ses in equity indices worldwide</w:t>
      </w:r>
      <w:r w:rsidR="00776D4B" w:rsidRPr="00C12D14">
        <w:rPr>
          <w:rFonts w:ascii="Times New Roman" w:hAnsi="Times New Roman" w:cs="Times New Roman"/>
        </w:rPr>
        <w:t>.</w:t>
      </w:r>
    </w:p>
    <w:p w:rsidR="00A502F9" w:rsidRPr="00EF040F" w:rsidRDefault="00AD0477" w:rsidP="00EF040F">
      <w:pPr>
        <w:pStyle w:val="regpar"/>
        <w:ind w:left="426" w:firstLine="0"/>
        <w:rPr>
          <w:rFonts w:ascii="Times New Roman" w:hAnsi="Times New Roman" w:cs="Times New Roman"/>
        </w:rPr>
      </w:pPr>
      <w:r w:rsidRPr="008771F5">
        <w:rPr>
          <w:rFonts w:ascii="Times New Roman" w:hAnsi="Times New Roman" w:cs="Times New Roman"/>
        </w:rPr>
        <w:t xml:space="preserve">In addition, the </w:t>
      </w:r>
      <w:r w:rsidR="00E8367D">
        <w:rPr>
          <w:rFonts w:ascii="Times New Roman" w:hAnsi="Times New Roman" w:cs="Times New Roman"/>
        </w:rPr>
        <w:t xml:space="preserve">increase </w:t>
      </w:r>
      <w:r w:rsidRPr="008771F5">
        <w:rPr>
          <w:rFonts w:ascii="Times New Roman" w:hAnsi="Times New Roman" w:cs="Times New Roman"/>
        </w:rPr>
        <w:t>in the portfolio value was contributed to by $</w:t>
      </w:r>
      <w:r w:rsidR="0042520D">
        <w:rPr>
          <w:rFonts w:ascii="Times New Roman" w:hAnsi="Times New Roman" w:cs="Times New Roman"/>
        </w:rPr>
        <w:t>10</w:t>
      </w:r>
      <w:r w:rsidR="00C63F8A">
        <w:rPr>
          <w:rFonts w:ascii="Times New Roman" w:hAnsi="Times New Roman" w:cs="Times New Roman"/>
        </w:rPr>
        <w:t xml:space="preserve"> </w:t>
      </w:r>
      <w:r w:rsidRPr="008771F5">
        <w:rPr>
          <w:rFonts w:ascii="Times New Roman" w:hAnsi="Times New Roman" w:cs="Times New Roman"/>
        </w:rPr>
        <w:t xml:space="preserve">billion in net </w:t>
      </w:r>
      <w:r w:rsidR="00E8367D">
        <w:rPr>
          <w:rFonts w:ascii="Times New Roman" w:hAnsi="Times New Roman" w:cs="Times New Roman"/>
        </w:rPr>
        <w:t xml:space="preserve">investment in </w:t>
      </w:r>
      <w:r w:rsidR="003E40E1">
        <w:rPr>
          <w:rFonts w:ascii="Times New Roman" w:hAnsi="Times New Roman" w:cs="Times New Roman"/>
        </w:rPr>
        <w:t xml:space="preserve">equities, which </w:t>
      </w:r>
      <w:r w:rsidR="00556DA5">
        <w:rPr>
          <w:rFonts w:ascii="Times New Roman" w:hAnsi="Times New Roman" w:cs="Times New Roman"/>
        </w:rPr>
        <w:t>was</w:t>
      </w:r>
      <w:r w:rsidR="003E40E1">
        <w:rPr>
          <w:rFonts w:ascii="Times New Roman" w:hAnsi="Times New Roman" w:cs="Times New Roman"/>
        </w:rPr>
        <w:t xml:space="preserve"> slightly offset by realizations of about $</w:t>
      </w:r>
      <w:r w:rsidR="0042520D">
        <w:rPr>
          <w:rFonts w:ascii="Times New Roman" w:hAnsi="Times New Roman" w:cs="Times New Roman"/>
        </w:rPr>
        <w:t xml:space="preserve">3.5 </w:t>
      </w:r>
      <w:r w:rsidR="00556DA5">
        <w:rPr>
          <w:rFonts w:ascii="Times New Roman" w:hAnsi="Times New Roman" w:cs="Times New Roman"/>
        </w:rPr>
        <w:t xml:space="preserve">billion </w:t>
      </w:r>
      <w:r w:rsidR="003E40E1">
        <w:rPr>
          <w:rFonts w:ascii="Times New Roman" w:hAnsi="Times New Roman" w:cs="Times New Roman"/>
        </w:rPr>
        <w:t xml:space="preserve">in foreign tradable bonds. </w:t>
      </w:r>
      <w:r w:rsidR="00AF2293" w:rsidRPr="008771F5">
        <w:rPr>
          <w:rFonts w:ascii="Times New Roman" w:hAnsi="Times New Roman" w:cs="Times New Roman"/>
        </w:rPr>
        <w:t xml:space="preserve">Most of the </w:t>
      </w:r>
      <w:r w:rsidR="00E8367D">
        <w:rPr>
          <w:rFonts w:ascii="Times New Roman" w:hAnsi="Times New Roman" w:cs="Times New Roman"/>
        </w:rPr>
        <w:t xml:space="preserve">investments </w:t>
      </w:r>
      <w:r w:rsidR="003E40E1">
        <w:rPr>
          <w:rFonts w:ascii="Times New Roman" w:hAnsi="Times New Roman" w:cs="Times New Roman"/>
        </w:rPr>
        <w:t xml:space="preserve">in equities </w:t>
      </w:r>
      <w:r w:rsidR="00AF2293" w:rsidRPr="008771F5">
        <w:rPr>
          <w:rFonts w:ascii="Times New Roman" w:hAnsi="Times New Roman" w:cs="Times New Roman"/>
        </w:rPr>
        <w:t xml:space="preserve">were by </w:t>
      </w:r>
      <w:r w:rsidR="00C63F8A">
        <w:rPr>
          <w:rFonts w:ascii="Times New Roman" w:hAnsi="Times New Roman" w:cs="Times New Roman"/>
        </w:rPr>
        <w:t>institutional investors (about $</w:t>
      </w:r>
      <w:r w:rsidR="0042520D">
        <w:rPr>
          <w:rFonts w:ascii="Times New Roman" w:hAnsi="Times New Roman" w:cs="Times New Roman"/>
        </w:rPr>
        <w:t>7</w:t>
      </w:r>
      <w:r w:rsidR="00C63F8A">
        <w:rPr>
          <w:rFonts w:ascii="Times New Roman" w:hAnsi="Times New Roman" w:cs="Times New Roman"/>
        </w:rPr>
        <w:t xml:space="preserve"> billion)</w:t>
      </w:r>
      <w:r w:rsidR="00FC69CC">
        <w:rPr>
          <w:rFonts w:ascii="Times New Roman" w:hAnsi="Times New Roman" w:cs="Times New Roman"/>
        </w:rPr>
        <w:t xml:space="preserve"> </w:t>
      </w:r>
      <w:r w:rsidR="00A36B64" w:rsidRPr="008771F5">
        <w:rPr>
          <w:rFonts w:ascii="Times New Roman" w:hAnsi="Times New Roman" w:cs="Times New Roman"/>
        </w:rPr>
        <w:t>(Figure</w:t>
      </w:r>
      <w:r w:rsidR="00E8367D">
        <w:rPr>
          <w:rFonts w:ascii="Times New Roman" w:hAnsi="Times New Roman" w:cs="Times New Roman"/>
        </w:rPr>
        <w:t xml:space="preserve"> 1)</w:t>
      </w:r>
      <w:r w:rsidR="00FC69CC">
        <w:rPr>
          <w:rFonts w:ascii="Times New Roman" w:hAnsi="Times New Roman" w:cs="Times New Roman"/>
        </w:rPr>
        <w:t>.</w:t>
      </w:r>
    </w:p>
    <w:p w:rsidR="00243AAE" w:rsidRPr="002C7E33" w:rsidRDefault="00243AAE" w:rsidP="00BB001C">
      <w:pPr>
        <w:bidi w:val="0"/>
      </w:pPr>
    </w:p>
    <w:p w:rsidR="006657CF" w:rsidRDefault="001408C7" w:rsidP="006657CF">
      <w:pPr>
        <w:keepNext/>
        <w:bidi w:val="0"/>
        <w:jc w:val="center"/>
      </w:pPr>
      <w:r>
        <w:rPr>
          <w:noProof/>
        </w:rPr>
        <w:lastRenderedPageBreak/>
        <w:drawing>
          <wp:inline distT="0" distB="0" distL="0" distR="0" wp14:anchorId="322DC27B">
            <wp:extent cx="4532400" cy="2880000"/>
            <wp:effectExtent l="0" t="0" r="1905" b="0"/>
            <wp:docPr id="7" name="Picture 7" descr="The figure depicts the financial investments abroad by Israeli residents, broken down into the business sector, institutional investors, households, and the banking sector. The figure can be found in the Excel file attached to this notice under the “Figure 1” worksheet." title="Figure 1: Israeli residents’ financial investments abroad, by s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32400" cy="2880000"/>
                    </a:xfrm>
                    <a:prstGeom prst="rect">
                      <a:avLst/>
                    </a:prstGeom>
                    <a:noFill/>
                  </pic:spPr>
                </pic:pic>
              </a:graphicData>
            </a:graphic>
          </wp:inline>
        </w:drawing>
      </w:r>
    </w:p>
    <w:p w:rsidR="00BB001C" w:rsidRPr="006657CF" w:rsidRDefault="006657CF" w:rsidP="006657CF">
      <w:pPr>
        <w:pStyle w:val="af7"/>
        <w:bidi w:val="0"/>
        <w:ind w:left="720"/>
        <w:jc w:val="both"/>
        <w:rPr>
          <w:rFonts w:ascii="David" w:hAnsi="David" w:cs="David"/>
          <w:color w:val="auto"/>
          <w:sz w:val="16"/>
          <w:szCs w:val="16"/>
          <w:rtl/>
        </w:rPr>
      </w:pPr>
      <w:r w:rsidRPr="006657CF">
        <w:rPr>
          <w:rFonts w:ascii="David" w:hAnsi="David" w:cs="David"/>
          <w:color w:val="auto"/>
          <w:sz w:val="16"/>
          <w:szCs w:val="16"/>
        </w:rPr>
        <w:t xml:space="preserve">Source: Bank of Israel </w:t>
      </w:r>
      <w:r w:rsidR="00DF76E8">
        <w:rPr>
          <w:rFonts w:ascii="David" w:hAnsi="David" w:cs="David"/>
          <w:color w:val="auto"/>
          <w:sz w:val="16"/>
          <w:szCs w:val="16"/>
        </w:rPr>
        <w:t xml:space="preserve">data and </w:t>
      </w:r>
      <w:r w:rsidRPr="006657CF">
        <w:rPr>
          <w:rFonts w:ascii="David" w:hAnsi="David" w:cs="David"/>
          <w:color w:val="auto"/>
          <w:sz w:val="16"/>
          <w:szCs w:val="16"/>
        </w:rPr>
        <w:t>compilation</w:t>
      </w:r>
      <w:r w:rsidR="00DF76E8">
        <w:rPr>
          <w:rFonts w:ascii="David" w:hAnsi="David" w:cs="David"/>
          <w:color w:val="auto"/>
          <w:sz w:val="16"/>
          <w:szCs w:val="16"/>
        </w:rPr>
        <w:t xml:space="preserve">s </w:t>
      </w:r>
      <w:r w:rsidR="00427D78">
        <w:rPr>
          <w:rStyle w:val="afa"/>
          <w:rFonts w:ascii="David" w:hAnsi="David" w:cs="David"/>
          <w:color w:val="auto"/>
          <w:sz w:val="16"/>
          <w:szCs w:val="16"/>
        </w:rPr>
        <w:endnoteReference w:id="1"/>
      </w:r>
    </w:p>
    <w:p w:rsidR="00243AAE" w:rsidRPr="002C7E33" w:rsidRDefault="00243AAE" w:rsidP="00243AAE">
      <w:pPr>
        <w:pStyle w:val="regpar"/>
        <w:ind w:firstLine="0"/>
        <w:rPr>
          <w:rFonts w:ascii="Times New Roman" w:hAnsi="Times New Roman" w:cs="Times New Roman"/>
        </w:rPr>
      </w:pPr>
    </w:p>
    <w:p w:rsidR="00DD15DC" w:rsidRPr="008F2AD7" w:rsidRDefault="00DD15DC" w:rsidP="002563E0">
      <w:pPr>
        <w:pStyle w:val="regpar"/>
        <w:numPr>
          <w:ilvl w:val="0"/>
          <w:numId w:val="7"/>
        </w:numPr>
        <w:ind w:left="426"/>
        <w:rPr>
          <w:rFonts w:ascii="Times New Roman" w:hAnsi="Times New Roman" w:cs="Times New Roman"/>
        </w:rPr>
      </w:pPr>
      <w:r w:rsidRPr="002563E0">
        <w:rPr>
          <w:rFonts w:ascii="Times New Roman" w:hAnsi="Times New Roman" w:cs="Times New Roman"/>
          <w:b/>
          <w:bCs/>
        </w:rPr>
        <w:t xml:space="preserve">The value of other investments </w:t>
      </w:r>
      <w:r w:rsidRPr="002563E0">
        <w:rPr>
          <w:rFonts w:ascii="Times New Roman" w:hAnsi="Times New Roman" w:cs="Times New Roman"/>
        </w:rPr>
        <w:t xml:space="preserve">abroad </w:t>
      </w:r>
      <w:r w:rsidR="003231EA" w:rsidRPr="002563E0">
        <w:rPr>
          <w:rFonts w:ascii="Times New Roman" w:hAnsi="Times New Roman" w:cs="Times New Roman"/>
        </w:rPr>
        <w:t>increased</w:t>
      </w:r>
      <w:r w:rsidR="007324D1" w:rsidRPr="002563E0">
        <w:rPr>
          <w:rFonts w:ascii="Times New Roman" w:hAnsi="Times New Roman" w:cs="Times New Roman"/>
        </w:rPr>
        <w:t xml:space="preserve"> </w:t>
      </w:r>
      <w:r w:rsidR="005B20D3" w:rsidRPr="002563E0">
        <w:rPr>
          <w:rFonts w:ascii="Times New Roman" w:hAnsi="Times New Roman" w:cs="Times New Roman"/>
        </w:rPr>
        <w:t>by about $</w:t>
      </w:r>
      <w:r w:rsidR="002563E0" w:rsidRPr="002563E0">
        <w:rPr>
          <w:rFonts w:ascii="Times New Roman" w:hAnsi="Times New Roman" w:cs="Times New Roman"/>
        </w:rPr>
        <w:t>2</w:t>
      </w:r>
      <w:r w:rsidR="006F1EEC" w:rsidRPr="002563E0">
        <w:rPr>
          <w:rFonts w:ascii="Times New Roman" w:hAnsi="Times New Roman" w:cs="Times New Roman"/>
        </w:rPr>
        <w:t xml:space="preserve"> </w:t>
      </w:r>
      <w:r w:rsidR="005B20D3" w:rsidRPr="002563E0">
        <w:rPr>
          <w:rFonts w:ascii="Times New Roman" w:hAnsi="Times New Roman" w:cs="Times New Roman"/>
        </w:rPr>
        <w:t>billion (</w:t>
      </w:r>
      <w:r w:rsidR="002563E0" w:rsidRPr="002563E0">
        <w:rPr>
          <w:rFonts w:ascii="Times New Roman" w:hAnsi="Times New Roman" w:cs="Times New Roman"/>
        </w:rPr>
        <w:t>2</w:t>
      </w:r>
      <w:r w:rsidR="003231EA" w:rsidRPr="002563E0">
        <w:rPr>
          <w:rFonts w:ascii="Times New Roman" w:hAnsi="Times New Roman" w:cs="Times New Roman"/>
        </w:rPr>
        <w:t xml:space="preserve"> </w:t>
      </w:r>
      <w:r w:rsidR="005B20D3" w:rsidRPr="002563E0">
        <w:rPr>
          <w:rFonts w:ascii="Times New Roman" w:hAnsi="Times New Roman" w:cs="Times New Roman"/>
        </w:rPr>
        <w:t>percent)</w:t>
      </w:r>
      <w:r w:rsidR="00C95E5D" w:rsidRPr="002563E0">
        <w:rPr>
          <w:rFonts w:ascii="Times New Roman" w:hAnsi="Times New Roman" w:cs="Times New Roman"/>
        </w:rPr>
        <w:t xml:space="preserve"> in the </w:t>
      </w:r>
      <w:r w:rsidR="00510B33" w:rsidRPr="002563E0">
        <w:rPr>
          <w:rFonts w:ascii="Times New Roman" w:hAnsi="Times New Roman" w:cs="Times New Roman"/>
        </w:rPr>
        <w:t>first quarter</w:t>
      </w:r>
      <w:r w:rsidR="005E1E2A" w:rsidRPr="002563E0">
        <w:rPr>
          <w:rFonts w:ascii="Times New Roman" w:hAnsi="Times New Roman" w:cs="Times New Roman"/>
        </w:rPr>
        <w:t xml:space="preserve">, mainly due to </w:t>
      </w:r>
      <w:r w:rsidR="006F1EEC" w:rsidRPr="002563E0">
        <w:rPr>
          <w:rFonts w:ascii="Times New Roman" w:hAnsi="Times New Roman" w:cs="Times New Roman"/>
        </w:rPr>
        <w:t xml:space="preserve">net </w:t>
      </w:r>
      <w:r w:rsidR="002563E0" w:rsidRPr="002563E0">
        <w:rPr>
          <w:rFonts w:ascii="Times New Roman" w:hAnsi="Times New Roman" w:cs="Times New Roman"/>
        </w:rPr>
        <w:t xml:space="preserve">investments in other </w:t>
      </w:r>
      <w:r w:rsidR="002563E0" w:rsidRPr="00425339">
        <w:rPr>
          <w:rFonts w:ascii="Times New Roman" w:hAnsi="Times New Roman" w:cs="Times New Roman"/>
        </w:rPr>
        <w:t xml:space="preserve">assets </w:t>
      </w:r>
      <w:r w:rsidR="006F1EEC" w:rsidRPr="00425339">
        <w:rPr>
          <w:rFonts w:ascii="Times New Roman" w:hAnsi="Times New Roman" w:cs="Times New Roman"/>
        </w:rPr>
        <w:t>of about $2 billion</w:t>
      </w:r>
      <w:r w:rsidR="002563E0" w:rsidRPr="00425339">
        <w:rPr>
          <w:rFonts w:ascii="Times New Roman" w:hAnsi="Times New Roman" w:cs="Times New Roman"/>
        </w:rPr>
        <w:t xml:space="preserve">, mostly investments by </w:t>
      </w:r>
      <w:r w:rsidR="003669C9" w:rsidRPr="00425339">
        <w:rPr>
          <w:rFonts w:ascii="Times New Roman" w:hAnsi="Times New Roman" w:cs="Times New Roman"/>
        </w:rPr>
        <w:t xml:space="preserve">institutional investors in </w:t>
      </w:r>
      <w:r w:rsidR="002563E0" w:rsidRPr="00425339">
        <w:rPr>
          <w:rFonts w:ascii="Times New Roman" w:hAnsi="Times New Roman" w:cs="Times New Roman"/>
        </w:rPr>
        <w:t>foreign investment funds</w:t>
      </w:r>
      <w:r w:rsidR="003231EA" w:rsidRPr="00425339">
        <w:rPr>
          <w:rFonts w:ascii="Times New Roman" w:hAnsi="Times New Roman" w:cs="Times New Roman"/>
        </w:rPr>
        <w:t>.</w:t>
      </w:r>
      <w:r w:rsidR="003231EA" w:rsidRPr="008F2AD7">
        <w:rPr>
          <w:rFonts w:ascii="Times New Roman" w:hAnsi="Times New Roman" w:cs="Times New Roman"/>
        </w:rPr>
        <w:t xml:space="preserve"> </w:t>
      </w:r>
    </w:p>
    <w:p w:rsidR="00335A9E" w:rsidRPr="00502E3C" w:rsidRDefault="00D34C57" w:rsidP="00E43975">
      <w:pPr>
        <w:pStyle w:val="regpar"/>
        <w:numPr>
          <w:ilvl w:val="0"/>
          <w:numId w:val="7"/>
        </w:numPr>
        <w:ind w:left="426"/>
        <w:rPr>
          <w:rFonts w:ascii="Times New Roman" w:hAnsi="Times New Roman" w:cs="Times New Roman"/>
        </w:rPr>
      </w:pPr>
      <w:r w:rsidRPr="00502E3C">
        <w:rPr>
          <w:rFonts w:ascii="Times New Roman" w:hAnsi="Times New Roman" w:cs="Times New Roman"/>
          <w:b/>
          <w:bCs/>
        </w:rPr>
        <w:t>The value of the foreign exchange reserves</w:t>
      </w:r>
      <w:r w:rsidRPr="00502E3C">
        <w:rPr>
          <w:rFonts w:ascii="Times New Roman" w:hAnsi="Times New Roman" w:cs="Times New Roman"/>
        </w:rPr>
        <w:t xml:space="preserve"> </w:t>
      </w:r>
      <w:r w:rsidR="0079583C" w:rsidRPr="00502E3C">
        <w:rPr>
          <w:rFonts w:ascii="Times New Roman" w:hAnsi="Times New Roman" w:cs="Times New Roman"/>
        </w:rPr>
        <w:t xml:space="preserve">increased </w:t>
      </w:r>
      <w:r w:rsidR="00522501" w:rsidRPr="00502E3C">
        <w:rPr>
          <w:rFonts w:ascii="Times New Roman" w:hAnsi="Times New Roman" w:cs="Times New Roman"/>
        </w:rPr>
        <w:t xml:space="preserve">during the </w:t>
      </w:r>
      <w:r w:rsidR="00510B33">
        <w:rPr>
          <w:rFonts w:ascii="Times New Roman" w:hAnsi="Times New Roman" w:cs="Times New Roman"/>
        </w:rPr>
        <w:t>first quarter</w:t>
      </w:r>
      <w:r w:rsidR="007174D0">
        <w:rPr>
          <w:rFonts w:ascii="Times New Roman" w:hAnsi="Times New Roman" w:cs="Times New Roman"/>
        </w:rPr>
        <w:t xml:space="preserve"> </w:t>
      </w:r>
      <w:r w:rsidR="0079583C" w:rsidRPr="00502E3C">
        <w:rPr>
          <w:rFonts w:ascii="Times New Roman" w:hAnsi="Times New Roman" w:cs="Times New Roman"/>
        </w:rPr>
        <w:t>by about $</w:t>
      </w:r>
      <w:r w:rsidR="007C7EAD">
        <w:rPr>
          <w:rFonts w:ascii="Times New Roman" w:hAnsi="Times New Roman" w:cs="Times New Roman"/>
        </w:rPr>
        <w:t>12</w:t>
      </w:r>
      <w:r w:rsidR="00AF4B99">
        <w:rPr>
          <w:rFonts w:ascii="Times New Roman" w:hAnsi="Times New Roman" w:cs="Times New Roman"/>
        </w:rPr>
        <w:t xml:space="preserve"> </w:t>
      </w:r>
      <w:r w:rsidR="0079583C" w:rsidRPr="00502E3C">
        <w:rPr>
          <w:rFonts w:ascii="Times New Roman" w:hAnsi="Times New Roman" w:cs="Times New Roman"/>
        </w:rPr>
        <w:t>billion (</w:t>
      </w:r>
      <w:r w:rsidR="007C7EAD">
        <w:rPr>
          <w:rFonts w:ascii="Times New Roman" w:hAnsi="Times New Roman" w:cs="Times New Roman"/>
        </w:rPr>
        <w:t>7</w:t>
      </w:r>
      <w:r w:rsidR="00335A9E" w:rsidRPr="00502E3C">
        <w:rPr>
          <w:rFonts w:ascii="Times New Roman" w:hAnsi="Times New Roman" w:cs="Times New Roman"/>
        </w:rPr>
        <w:t xml:space="preserve"> </w:t>
      </w:r>
      <w:r w:rsidR="0079583C" w:rsidRPr="00502E3C">
        <w:rPr>
          <w:rFonts w:ascii="Times New Roman" w:hAnsi="Times New Roman" w:cs="Times New Roman"/>
        </w:rPr>
        <w:t>perc</w:t>
      </w:r>
      <w:r w:rsidR="00D204CA" w:rsidRPr="00502E3C">
        <w:rPr>
          <w:rFonts w:ascii="Times New Roman" w:hAnsi="Times New Roman" w:cs="Times New Roman"/>
        </w:rPr>
        <w:t>e</w:t>
      </w:r>
      <w:r w:rsidR="0079583C" w:rsidRPr="00502E3C">
        <w:rPr>
          <w:rFonts w:ascii="Times New Roman" w:hAnsi="Times New Roman" w:cs="Times New Roman"/>
        </w:rPr>
        <w:t>nt)</w:t>
      </w:r>
      <w:r w:rsidR="007F3AB4" w:rsidRPr="00502E3C">
        <w:rPr>
          <w:rFonts w:ascii="Times New Roman" w:hAnsi="Times New Roman" w:cs="Times New Roman"/>
        </w:rPr>
        <w:t xml:space="preserve">, </w:t>
      </w:r>
      <w:r w:rsidR="00281D82" w:rsidRPr="00502E3C">
        <w:rPr>
          <w:rFonts w:ascii="Times New Roman" w:hAnsi="Times New Roman" w:cs="Times New Roman"/>
        </w:rPr>
        <w:t xml:space="preserve">to </w:t>
      </w:r>
      <w:r w:rsidR="005E7885" w:rsidRPr="00502E3C">
        <w:rPr>
          <w:rFonts w:ascii="Times New Roman" w:hAnsi="Times New Roman" w:cs="Times New Roman"/>
        </w:rPr>
        <w:t xml:space="preserve">about </w:t>
      </w:r>
      <w:r w:rsidRPr="00502E3C">
        <w:rPr>
          <w:rFonts w:ascii="Times New Roman" w:hAnsi="Times New Roman" w:cs="Times New Roman"/>
        </w:rPr>
        <w:t>$</w:t>
      </w:r>
      <w:r w:rsidR="007C7EAD">
        <w:rPr>
          <w:rFonts w:ascii="Times New Roman" w:hAnsi="Times New Roman" w:cs="Times New Roman"/>
        </w:rPr>
        <w:t xml:space="preserve">186 </w:t>
      </w:r>
      <w:r w:rsidR="00335A9E" w:rsidRPr="00502E3C">
        <w:rPr>
          <w:rFonts w:ascii="Times New Roman" w:hAnsi="Times New Roman" w:cs="Times New Roman"/>
        </w:rPr>
        <w:t>b</w:t>
      </w:r>
      <w:r w:rsidRPr="00502E3C">
        <w:rPr>
          <w:rFonts w:ascii="Times New Roman" w:hAnsi="Times New Roman" w:cs="Times New Roman"/>
        </w:rPr>
        <w:t xml:space="preserve">illion at the end of </w:t>
      </w:r>
      <w:r w:rsidR="007C7EAD">
        <w:rPr>
          <w:rFonts w:ascii="Times New Roman" w:hAnsi="Times New Roman" w:cs="Times New Roman"/>
        </w:rPr>
        <w:t>March</w:t>
      </w:r>
      <w:r w:rsidRPr="00502E3C">
        <w:rPr>
          <w:rFonts w:ascii="Times New Roman" w:hAnsi="Times New Roman" w:cs="Times New Roman"/>
        </w:rPr>
        <w:t>.</w:t>
      </w:r>
      <w:r w:rsidR="00A82D15" w:rsidRPr="00502E3C">
        <w:rPr>
          <w:rFonts w:ascii="Times New Roman" w:hAnsi="Times New Roman" w:cs="Times New Roman"/>
        </w:rPr>
        <w:t xml:space="preserve"> </w:t>
      </w:r>
      <w:r w:rsidR="00281D82" w:rsidRPr="00502E3C">
        <w:rPr>
          <w:rFonts w:ascii="Times New Roman" w:hAnsi="Times New Roman" w:cs="Times New Roman"/>
        </w:rPr>
        <w:t xml:space="preserve">The increase derived from </w:t>
      </w:r>
      <w:r w:rsidR="007C7EAD">
        <w:rPr>
          <w:rFonts w:ascii="Times New Roman" w:hAnsi="Times New Roman" w:cs="Times New Roman"/>
        </w:rPr>
        <w:t>Bank of Israel foreign exchange purchases totaling $14 billion</w:t>
      </w:r>
      <w:r w:rsidR="00AF4B99">
        <w:rPr>
          <w:rFonts w:ascii="Times New Roman" w:hAnsi="Times New Roman" w:cs="Times New Roman"/>
        </w:rPr>
        <w:t>, which were p</w:t>
      </w:r>
      <w:r w:rsidR="00AF4B99" w:rsidRPr="00A321F3">
        <w:rPr>
          <w:rFonts w:ascii="Times New Roman" w:hAnsi="Times New Roman" w:cs="Times New Roman"/>
        </w:rPr>
        <w:t xml:space="preserve">artly offset by </w:t>
      </w:r>
      <w:r w:rsidR="007C7EAD" w:rsidRPr="00A321F3">
        <w:rPr>
          <w:rFonts w:ascii="Times New Roman" w:hAnsi="Times New Roman" w:cs="Times New Roman"/>
        </w:rPr>
        <w:t>a revaluation that totaled</w:t>
      </w:r>
      <w:r w:rsidR="007C7EAD">
        <w:rPr>
          <w:rFonts w:ascii="Times New Roman" w:hAnsi="Times New Roman" w:cs="Times New Roman"/>
        </w:rPr>
        <w:t xml:space="preserve"> $2 billion</w:t>
      </w:r>
      <w:r w:rsidR="00AF4B99">
        <w:rPr>
          <w:rFonts w:ascii="Times New Roman" w:hAnsi="Times New Roman" w:cs="Times New Roman"/>
        </w:rPr>
        <w:t xml:space="preserve">. </w:t>
      </w:r>
    </w:p>
    <w:p w:rsidR="00DD15DC" w:rsidRPr="007C7EAD" w:rsidRDefault="00DD15DC" w:rsidP="00572BC7">
      <w:pPr>
        <w:pStyle w:val="regpar"/>
        <w:numPr>
          <w:ilvl w:val="0"/>
          <w:numId w:val="7"/>
        </w:numPr>
        <w:ind w:left="432"/>
      </w:pPr>
      <w:r w:rsidRPr="007C7EAD">
        <w:rPr>
          <w:rFonts w:ascii="Times New Roman" w:hAnsi="Times New Roman" w:cs="Times New Roman"/>
          <w:b/>
          <w:bCs/>
        </w:rPr>
        <w:t xml:space="preserve">The composition of </w:t>
      </w:r>
      <w:r w:rsidR="00405EEE" w:rsidRPr="007C7EAD">
        <w:rPr>
          <w:rFonts w:ascii="Times New Roman" w:hAnsi="Times New Roman" w:cs="Times New Roman"/>
          <w:b/>
          <w:bCs/>
        </w:rPr>
        <w:t>Israelis’</w:t>
      </w:r>
      <w:r w:rsidRPr="007C7EAD">
        <w:rPr>
          <w:rFonts w:ascii="Times New Roman" w:hAnsi="Times New Roman" w:cs="Times New Roman"/>
          <w:b/>
          <w:bCs/>
        </w:rPr>
        <w:t xml:space="preserve"> securities portfolio abroad</w:t>
      </w:r>
      <w:r w:rsidR="00137AAC" w:rsidRPr="007C7EAD">
        <w:rPr>
          <w:rFonts w:ascii="Times New Roman" w:hAnsi="Times New Roman" w:cs="Times New Roman"/>
        </w:rPr>
        <w:t>:</w:t>
      </w:r>
      <w:r w:rsidR="00AA63FF" w:rsidRPr="007C7EAD">
        <w:rPr>
          <w:rFonts w:ascii="Times New Roman" w:hAnsi="Times New Roman" w:cs="Times New Roman"/>
        </w:rPr>
        <w:t xml:space="preserve"> At the end of t</w:t>
      </w:r>
      <w:r w:rsidR="00C95E5D" w:rsidRPr="007C7EAD">
        <w:rPr>
          <w:rFonts w:ascii="Times New Roman" w:hAnsi="Times New Roman" w:cs="Times New Roman"/>
        </w:rPr>
        <w:t xml:space="preserve">he </w:t>
      </w:r>
      <w:r w:rsidR="00510B33" w:rsidRPr="007C7EAD">
        <w:rPr>
          <w:rFonts w:ascii="Times New Roman" w:hAnsi="Times New Roman" w:cs="Times New Roman"/>
        </w:rPr>
        <w:t>first quarter</w:t>
      </w:r>
      <w:r w:rsidR="00C95E5D" w:rsidRPr="007C7EAD">
        <w:rPr>
          <w:rFonts w:ascii="Times New Roman" w:hAnsi="Times New Roman" w:cs="Times New Roman"/>
        </w:rPr>
        <w:t xml:space="preserve">, </w:t>
      </w:r>
      <w:r w:rsidR="00AA63FF" w:rsidRPr="007C7EAD">
        <w:rPr>
          <w:rFonts w:ascii="Times New Roman" w:hAnsi="Times New Roman" w:cs="Times New Roman"/>
        </w:rPr>
        <w:t xml:space="preserve">there was </w:t>
      </w:r>
      <w:r w:rsidR="00864530" w:rsidRPr="007C7EAD">
        <w:rPr>
          <w:rFonts w:ascii="Times New Roman" w:hAnsi="Times New Roman" w:cs="Times New Roman"/>
        </w:rPr>
        <w:t xml:space="preserve">an increase </w:t>
      </w:r>
      <w:r w:rsidR="00AF5646" w:rsidRPr="007C7EAD">
        <w:rPr>
          <w:rFonts w:ascii="Times New Roman" w:hAnsi="Times New Roman" w:cs="Times New Roman"/>
        </w:rPr>
        <w:t>of about</w:t>
      </w:r>
      <w:r w:rsidR="00864530" w:rsidRPr="007C7EAD">
        <w:rPr>
          <w:rFonts w:ascii="Times New Roman" w:hAnsi="Times New Roman" w:cs="Times New Roman"/>
        </w:rPr>
        <w:t xml:space="preserve"> </w:t>
      </w:r>
      <w:r w:rsidR="007C7EAD" w:rsidRPr="007C7EAD">
        <w:rPr>
          <w:rFonts w:ascii="Times New Roman" w:hAnsi="Times New Roman" w:cs="Times New Roman"/>
        </w:rPr>
        <w:t>1</w:t>
      </w:r>
      <w:r w:rsidR="00864530" w:rsidRPr="007C7EAD">
        <w:rPr>
          <w:rFonts w:ascii="Times New Roman" w:hAnsi="Times New Roman" w:cs="Times New Roman"/>
        </w:rPr>
        <w:t xml:space="preserve"> </w:t>
      </w:r>
      <w:r w:rsidR="00864530" w:rsidRPr="00A321F3">
        <w:rPr>
          <w:rFonts w:ascii="Times New Roman" w:hAnsi="Times New Roman" w:cs="Times New Roman"/>
        </w:rPr>
        <w:t>percentage point in</w:t>
      </w:r>
      <w:r w:rsidR="00864530" w:rsidRPr="007C7EAD">
        <w:rPr>
          <w:rFonts w:ascii="Times New Roman" w:hAnsi="Times New Roman" w:cs="Times New Roman"/>
        </w:rPr>
        <w:t xml:space="preserve"> the share of Israeli residents’ equity instruments abroad, to about 4</w:t>
      </w:r>
      <w:r w:rsidR="007C7EAD" w:rsidRPr="007C7EAD">
        <w:rPr>
          <w:rFonts w:ascii="Times New Roman" w:hAnsi="Times New Roman" w:cs="Times New Roman"/>
        </w:rPr>
        <w:t>6</w:t>
      </w:r>
      <w:r w:rsidR="00864530" w:rsidRPr="007C7EAD">
        <w:rPr>
          <w:rFonts w:ascii="Times New Roman" w:hAnsi="Times New Roman" w:cs="Times New Roman"/>
        </w:rPr>
        <w:t xml:space="preserve"> percent, </w:t>
      </w:r>
      <w:r w:rsidR="00AF5646" w:rsidRPr="007C7EAD">
        <w:rPr>
          <w:rFonts w:ascii="Times New Roman" w:hAnsi="Times New Roman" w:cs="Times New Roman"/>
        </w:rPr>
        <w:t>and</w:t>
      </w:r>
      <w:r w:rsidR="00864530" w:rsidRPr="007C7EAD">
        <w:rPr>
          <w:rFonts w:ascii="Times New Roman" w:hAnsi="Times New Roman" w:cs="Times New Roman"/>
        </w:rPr>
        <w:t xml:space="preserve"> a decline in the </w:t>
      </w:r>
      <w:r w:rsidR="00C848BB" w:rsidRPr="007C7EAD">
        <w:rPr>
          <w:rFonts w:ascii="Times New Roman" w:hAnsi="Times New Roman" w:cs="Times New Roman"/>
        </w:rPr>
        <w:t xml:space="preserve">share </w:t>
      </w:r>
      <w:r w:rsidR="00AF5646" w:rsidRPr="007C7EAD">
        <w:rPr>
          <w:rFonts w:ascii="Times New Roman" w:hAnsi="Times New Roman" w:cs="Times New Roman"/>
        </w:rPr>
        <w:t>of</w:t>
      </w:r>
      <w:r w:rsidR="00864530" w:rsidRPr="007C7EAD">
        <w:rPr>
          <w:rFonts w:ascii="Times New Roman" w:hAnsi="Times New Roman" w:cs="Times New Roman"/>
        </w:rPr>
        <w:t xml:space="preserve"> debt </w:t>
      </w:r>
      <w:r w:rsidR="00AF5646" w:rsidRPr="007C7EAD">
        <w:rPr>
          <w:rFonts w:ascii="Times New Roman" w:hAnsi="Times New Roman" w:cs="Times New Roman"/>
        </w:rPr>
        <w:t>instruments</w:t>
      </w:r>
      <w:r w:rsidR="00864530" w:rsidRPr="007C7EAD">
        <w:rPr>
          <w:rFonts w:ascii="Times New Roman" w:hAnsi="Times New Roman" w:cs="Times New Roman"/>
        </w:rPr>
        <w:t xml:space="preserve"> to a </w:t>
      </w:r>
      <w:r w:rsidR="00AF5646" w:rsidRPr="007C7EAD">
        <w:rPr>
          <w:rFonts w:ascii="Times New Roman" w:hAnsi="Times New Roman" w:cs="Times New Roman"/>
        </w:rPr>
        <w:t>level</w:t>
      </w:r>
      <w:r w:rsidR="00864530" w:rsidRPr="007C7EAD">
        <w:rPr>
          <w:rFonts w:ascii="Times New Roman" w:hAnsi="Times New Roman" w:cs="Times New Roman"/>
        </w:rPr>
        <w:t xml:space="preserve"> of </w:t>
      </w:r>
      <w:r w:rsidR="007C7EAD" w:rsidRPr="007C7EAD">
        <w:rPr>
          <w:rFonts w:ascii="Times New Roman" w:hAnsi="Times New Roman" w:cs="Times New Roman"/>
        </w:rPr>
        <w:t xml:space="preserve">54 </w:t>
      </w:r>
      <w:r w:rsidR="00AF5646" w:rsidRPr="007C7EAD">
        <w:rPr>
          <w:rFonts w:ascii="Times New Roman" w:hAnsi="Times New Roman" w:cs="Times New Roman"/>
        </w:rPr>
        <w:t>percent</w:t>
      </w:r>
      <w:r w:rsidR="00864530" w:rsidRPr="007C7EAD">
        <w:rPr>
          <w:rFonts w:ascii="Times New Roman" w:hAnsi="Times New Roman" w:cs="Times New Roman"/>
        </w:rPr>
        <w:t xml:space="preserve">. </w:t>
      </w:r>
    </w:p>
    <w:p w:rsidR="007C7EAD" w:rsidRPr="007C7EAD" w:rsidRDefault="007C7EAD" w:rsidP="007C7EAD">
      <w:pPr>
        <w:pStyle w:val="regpar"/>
        <w:ind w:left="426" w:firstLine="0"/>
      </w:pPr>
    </w:p>
    <w:p w:rsidR="007C7EAD" w:rsidRPr="002C7E33" w:rsidRDefault="007C7EAD" w:rsidP="007C7EAD">
      <w:pPr>
        <w:pStyle w:val="regpar"/>
        <w:ind w:left="426" w:firstLine="0"/>
      </w:pPr>
    </w:p>
    <w:p w:rsidR="00763F37" w:rsidRPr="002C7E33" w:rsidRDefault="00763F37" w:rsidP="00763F37">
      <w:pPr>
        <w:pStyle w:val="regpar"/>
        <w:numPr>
          <w:ilvl w:val="0"/>
          <w:numId w:val="4"/>
        </w:numPr>
        <w:rPr>
          <w:b/>
          <w:bCs/>
        </w:rPr>
      </w:pPr>
      <w:r w:rsidRPr="002C7E33">
        <w:rPr>
          <w:b/>
          <w:bCs/>
        </w:rPr>
        <w:t>Israel’s liabilities to abroad</w:t>
      </w:r>
    </w:p>
    <w:p w:rsidR="00763F37" w:rsidRPr="002C7E33" w:rsidRDefault="00763F37" w:rsidP="00DD15DC">
      <w:pPr>
        <w:pStyle w:val="regpar"/>
        <w:ind w:firstLine="0"/>
      </w:pPr>
    </w:p>
    <w:p w:rsidR="00812508" w:rsidRPr="00EB0B75" w:rsidRDefault="00DD15DC" w:rsidP="007377DD">
      <w:pPr>
        <w:pStyle w:val="regpar"/>
        <w:ind w:firstLine="0"/>
      </w:pPr>
      <w:r w:rsidRPr="00EB0B75">
        <w:t xml:space="preserve">The balance of Israel's liabilities to abroad </w:t>
      </w:r>
      <w:r w:rsidR="004274AD" w:rsidRPr="00EB0B75">
        <w:t>in</w:t>
      </w:r>
      <w:r w:rsidR="00280DD3" w:rsidRPr="00EB0B75">
        <w:t xml:space="preserve">creased </w:t>
      </w:r>
      <w:r w:rsidRPr="00EB0B75">
        <w:t>by about $</w:t>
      </w:r>
      <w:r w:rsidR="00341343" w:rsidRPr="00EB0B75">
        <w:t>25</w:t>
      </w:r>
      <w:r w:rsidR="00F52AD0" w:rsidRPr="00EB0B75">
        <w:t xml:space="preserve"> </w:t>
      </w:r>
      <w:r w:rsidRPr="00EB0B75">
        <w:t>billion (</w:t>
      </w:r>
      <w:r w:rsidR="00341343" w:rsidRPr="00EB0B75">
        <w:t>6</w:t>
      </w:r>
      <w:r w:rsidR="00F52AD0" w:rsidRPr="00EB0B75">
        <w:t xml:space="preserve"> </w:t>
      </w:r>
      <w:r w:rsidRPr="00EB0B75">
        <w:t>percent)</w:t>
      </w:r>
      <w:r w:rsidR="00C95E5D" w:rsidRPr="00EB0B75">
        <w:t xml:space="preserve"> in the </w:t>
      </w:r>
      <w:r w:rsidR="00510B33" w:rsidRPr="00EB0B75">
        <w:t>first quarter</w:t>
      </w:r>
      <w:r w:rsidRPr="00EB0B75">
        <w:t>, to about $</w:t>
      </w:r>
      <w:r w:rsidR="00341343" w:rsidRPr="00EB0B75">
        <w:t xml:space="preserve">436 </w:t>
      </w:r>
      <w:r w:rsidRPr="00EB0B75">
        <w:t xml:space="preserve">billion at the end of </w:t>
      </w:r>
      <w:r w:rsidR="00510B33" w:rsidRPr="00EB0B75">
        <w:t>March</w:t>
      </w:r>
      <w:r w:rsidR="00F9554B" w:rsidRPr="00EB0B75">
        <w:t>.</w:t>
      </w:r>
      <w:r w:rsidR="005E7885" w:rsidRPr="00EB0B75">
        <w:t xml:space="preserve"> </w:t>
      </w:r>
      <w:r w:rsidR="009D2FAE" w:rsidRPr="00EB0B75">
        <w:t xml:space="preserve">The increase </w:t>
      </w:r>
      <w:r w:rsidR="005F32E1" w:rsidRPr="00EB0B75">
        <w:t>derived from</w:t>
      </w:r>
      <w:r w:rsidR="00F9554B" w:rsidRPr="00EB0B75">
        <w:t xml:space="preserve"> </w:t>
      </w:r>
      <w:r w:rsidR="00341343" w:rsidRPr="00EB0B75">
        <w:t>$18 billion in net investments by nonr</w:t>
      </w:r>
      <w:r w:rsidR="00B71430">
        <w:t>e</w:t>
      </w:r>
      <w:r w:rsidR="00341343" w:rsidRPr="00EB0B75">
        <w:t xml:space="preserve">sidents in tradable securities </w:t>
      </w:r>
      <w:r w:rsidR="00812508" w:rsidRPr="00EB0B75">
        <w:t xml:space="preserve">and by </w:t>
      </w:r>
      <w:r w:rsidR="00B71430">
        <w:t xml:space="preserve">net </w:t>
      </w:r>
      <w:r w:rsidR="00812508" w:rsidRPr="00EB0B75">
        <w:t>direct investmen</w:t>
      </w:r>
      <w:r w:rsidR="00B71430">
        <w:t>t</w:t>
      </w:r>
      <w:r w:rsidR="007377DD">
        <w:t xml:space="preserve"> </w:t>
      </w:r>
      <w:r w:rsidR="00B71430">
        <w:t xml:space="preserve">of </w:t>
      </w:r>
      <w:r w:rsidR="007377DD">
        <w:t>$</w:t>
      </w:r>
      <w:r w:rsidR="00341343" w:rsidRPr="00EB0B75">
        <w:t>7 billion.</w:t>
      </w:r>
    </w:p>
    <w:p w:rsidR="00E73A67" w:rsidRPr="00EB0B75" w:rsidRDefault="00E73A67" w:rsidP="005E7885">
      <w:pPr>
        <w:pStyle w:val="regpar"/>
        <w:ind w:firstLine="0"/>
        <w:rPr>
          <w:rtl/>
        </w:rPr>
      </w:pPr>
    </w:p>
    <w:p w:rsidR="004A53A2" w:rsidRPr="00EB0B75" w:rsidRDefault="004A53A2" w:rsidP="0005496E">
      <w:pPr>
        <w:pStyle w:val="regpar"/>
        <w:numPr>
          <w:ilvl w:val="0"/>
          <w:numId w:val="9"/>
        </w:numPr>
      </w:pPr>
      <w:r w:rsidRPr="00EB0B75">
        <w:rPr>
          <w:b/>
          <w:bCs/>
        </w:rPr>
        <w:t>The value of direct investments in the economy</w:t>
      </w:r>
      <w:r w:rsidRPr="00EB0B75">
        <w:t xml:space="preserve"> increased during the </w:t>
      </w:r>
      <w:r w:rsidR="00510B33" w:rsidRPr="00EB0B75">
        <w:t>first quarter</w:t>
      </w:r>
      <w:r w:rsidR="00C80B77" w:rsidRPr="00EB0B75">
        <w:t xml:space="preserve"> by $</w:t>
      </w:r>
      <w:r w:rsidR="0005496E" w:rsidRPr="00EB0B75">
        <w:t>8</w:t>
      </w:r>
      <w:r w:rsidRPr="00EB0B75">
        <w:t xml:space="preserve"> billion (</w:t>
      </w:r>
      <w:r w:rsidR="0005496E" w:rsidRPr="00EB0B75">
        <w:t>4.5</w:t>
      </w:r>
      <w:r w:rsidR="00C80B77" w:rsidRPr="00EB0B75">
        <w:t xml:space="preserve"> </w:t>
      </w:r>
      <w:r w:rsidRPr="00EB0B75">
        <w:t>percent)</w:t>
      </w:r>
      <w:r w:rsidR="00AF7AC8" w:rsidRPr="00EB0B75">
        <w:t>. The increase derived mainly from direct investments in Israeli equities of a</w:t>
      </w:r>
      <w:r w:rsidR="00A517D0" w:rsidRPr="00EB0B75">
        <w:t>pproximately $</w:t>
      </w:r>
      <w:r w:rsidR="0005496E" w:rsidRPr="00EB0B75">
        <w:t>7</w:t>
      </w:r>
      <w:r w:rsidR="00C80B77" w:rsidRPr="00EB0B75">
        <w:t xml:space="preserve"> </w:t>
      </w:r>
      <w:r w:rsidR="00A517D0" w:rsidRPr="00EB0B75">
        <w:t>billion, dispersed over a large number of companies, including approximately $</w:t>
      </w:r>
      <w:r w:rsidR="0005496E" w:rsidRPr="00EB0B75">
        <w:t xml:space="preserve">1.4 </w:t>
      </w:r>
      <w:r w:rsidR="00A517D0" w:rsidRPr="00EB0B75">
        <w:t>billion in respect of profits that accrued for investment.</w:t>
      </w:r>
    </w:p>
    <w:p w:rsidR="00812508" w:rsidRPr="00EB0B75" w:rsidRDefault="007C1496" w:rsidP="0005496E">
      <w:pPr>
        <w:pStyle w:val="regpar"/>
        <w:numPr>
          <w:ilvl w:val="0"/>
          <w:numId w:val="8"/>
        </w:numPr>
        <w:ind w:left="426"/>
      </w:pPr>
      <w:r w:rsidRPr="00EB0B75">
        <w:rPr>
          <w:b/>
          <w:bCs/>
        </w:rPr>
        <w:t>The value of the securities portfolio</w:t>
      </w:r>
      <w:r w:rsidRPr="00EB0B75">
        <w:t xml:space="preserve"> increased by $</w:t>
      </w:r>
      <w:r w:rsidR="0005496E" w:rsidRPr="00EB0B75">
        <w:t>17</w:t>
      </w:r>
      <w:r w:rsidR="00DE4C60" w:rsidRPr="00EB0B75">
        <w:t xml:space="preserve"> billion (</w:t>
      </w:r>
      <w:r w:rsidR="0005496E" w:rsidRPr="00EB0B75">
        <w:t xml:space="preserve">10 </w:t>
      </w:r>
      <w:r w:rsidRPr="00EB0B75">
        <w:t xml:space="preserve">percent) during the </w:t>
      </w:r>
      <w:r w:rsidR="00510B33" w:rsidRPr="00EB0B75">
        <w:t>first quarter</w:t>
      </w:r>
      <w:r w:rsidR="00DE4C60" w:rsidRPr="00EB0B75">
        <w:t xml:space="preserve">, primarily as a result of </w:t>
      </w:r>
      <w:r w:rsidR="0005496E" w:rsidRPr="00EB0B75">
        <w:t xml:space="preserve">net investment in bonds totaling $15 billion, most of it in short term nominal government bonds, totaling $8 billion, and in makam totaling $4 billion. </w:t>
      </w:r>
    </w:p>
    <w:p w:rsidR="007332F1" w:rsidRPr="00477DCC" w:rsidRDefault="00DD15DC" w:rsidP="0074167B">
      <w:pPr>
        <w:pStyle w:val="regpar"/>
        <w:numPr>
          <w:ilvl w:val="0"/>
          <w:numId w:val="8"/>
        </w:numPr>
        <w:ind w:left="432"/>
      </w:pPr>
      <w:r w:rsidRPr="00ED4556">
        <w:rPr>
          <w:b/>
          <w:bCs/>
        </w:rPr>
        <w:t xml:space="preserve">The value of </w:t>
      </w:r>
      <w:r w:rsidRPr="00ED4556">
        <w:rPr>
          <w:b/>
        </w:rPr>
        <w:t>nonresidents' financial portfolio on the Tel Aviv Stock Exchange</w:t>
      </w:r>
      <w:r w:rsidR="00DF648D">
        <w:rPr>
          <w:rStyle w:val="ad"/>
          <w:b/>
        </w:rPr>
        <w:footnoteReference w:id="1"/>
      </w:r>
      <w:r w:rsidR="00980A0E" w:rsidRPr="00ED4556">
        <w:rPr>
          <w:b/>
        </w:rPr>
        <w:t xml:space="preserve">, </w:t>
      </w:r>
      <w:r w:rsidR="00980A0E" w:rsidRPr="00ED4556">
        <w:rPr>
          <w:bCs/>
        </w:rPr>
        <w:t xml:space="preserve">which makes up a part of nonresidents’ investments in </w:t>
      </w:r>
      <w:r w:rsidR="00243AAE" w:rsidRPr="00ED4556">
        <w:rPr>
          <w:bCs/>
        </w:rPr>
        <w:t>Israel</w:t>
      </w:r>
      <w:r w:rsidR="00980A0E" w:rsidRPr="00ED4556">
        <w:rPr>
          <w:bCs/>
        </w:rPr>
        <w:t>,</w:t>
      </w:r>
      <w:r w:rsidRPr="00ED4556">
        <w:rPr>
          <w:bCs/>
        </w:rPr>
        <w:t xml:space="preserve"> </w:t>
      </w:r>
      <w:r w:rsidR="00A443AE" w:rsidRPr="00ED4556">
        <w:rPr>
          <w:bCs/>
        </w:rPr>
        <w:t>in</w:t>
      </w:r>
      <w:r w:rsidR="006248C2" w:rsidRPr="00ED4556">
        <w:rPr>
          <w:bCs/>
        </w:rPr>
        <w:t xml:space="preserve">creased </w:t>
      </w:r>
      <w:r w:rsidRPr="00ED4556">
        <w:rPr>
          <w:bCs/>
        </w:rPr>
        <w:t xml:space="preserve">by </w:t>
      </w:r>
      <w:r w:rsidR="00A85A35" w:rsidRPr="00ED4556">
        <w:rPr>
          <w:bCs/>
        </w:rPr>
        <w:t xml:space="preserve">about </w:t>
      </w:r>
      <w:r w:rsidR="00EE6713">
        <w:rPr>
          <w:bCs/>
        </w:rPr>
        <w:t>$14</w:t>
      </w:r>
      <w:r w:rsidR="00D845C7" w:rsidRPr="00ED4556">
        <w:rPr>
          <w:bCs/>
        </w:rPr>
        <w:t xml:space="preserve"> </w:t>
      </w:r>
      <w:r w:rsidR="004E0F06" w:rsidRPr="00ED4556">
        <w:rPr>
          <w:bCs/>
        </w:rPr>
        <w:t>b</w:t>
      </w:r>
      <w:r w:rsidRPr="00ED4556">
        <w:rPr>
          <w:bCs/>
        </w:rPr>
        <w:t>illion</w:t>
      </w:r>
      <w:r w:rsidR="009E3239" w:rsidRPr="00ED4556">
        <w:rPr>
          <w:bCs/>
        </w:rPr>
        <w:t xml:space="preserve"> in the </w:t>
      </w:r>
      <w:r w:rsidR="00510B33">
        <w:rPr>
          <w:bCs/>
        </w:rPr>
        <w:t>first quarter</w:t>
      </w:r>
      <w:r w:rsidRPr="00ED4556">
        <w:rPr>
          <w:bCs/>
        </w:rPr>
        <w:t>, to about $</w:t>
      </w:r>
      <w:r w:rsidR="00EE6713">
        <w:rPr>
          <w:bCs/>
        </w:rPr>
        <w:t>70</w:t>
      </w:r>
      <w:r w:rsidR="00ED4556" w:rsidRPr="00ED4556">
        <w:rPr>
          <w:bCs/>
        </w:rPr>
        <w:t xml:space="preserve"> </w:t>
      </w:r>
      <w:r w:rsidR="008E652D" w:rsidRPr="00ED4556">
        <w:rPr>
          <w:bCs/>
        </w:rPr>
        <w:t>b</w:t>
      </w:r>
      <w:r w:rsidRPr="00ED4556">
        <w:rPr>
          <w:bCs/>
        </w:rPr>
        <w:t xml:space="preserve">illion at the end of </w:t>
      </w:r>
      <w:r w:rsidR="00510B33">
        <w:rPr>
          <w:bCs/>
        </w:rPr>
        <w:t>March</w:t>
      </w:r>
      <w:r w:rsidR="00980A0E" w:rsidRPr="00ED4556">
        <w:rPr>
          <w:bCs/>
        </w:rPr>
        <w:t xml:space="preserve">. </w:t>
      </w:r>
      <w:r w:rsidR="00862889" w:rsidRPr="00ED4556">
        <w:rPr>
          <w:bCs/>
        </w:rPr>
        <w:lastRenderedPageBreak/>
        <w:t xml:space="preserve">The change in the value of the portfolio was due </w:t>
      </w:r>
      <w:r w:rsidR="00A443AE" w:rsidRPr="00ED4556">
        <w:rPr>
          <w:bCs/>
        </w:rPr>
        <w:t xml:space="preserve">mainly </w:t>
      </w:r>
      <w:r w:rsidR="00862889" w:rsidRPr="00ED4556">
        <w:rPr>
          <w:bCs/>
        </w:rPr>
        <w:t xml:space="preserve">to </w:t>
      </w:r>
      <w:r w:rsidR="00B52A01">
        <w:rPr>
          <w:bCs/>
        </w:rPr>
        <w:t>net investme</w:t>
      </w:r>
      <w:r w:rsidR="00EE6713">
        <w:rPr>
          <w:bCs/>
        </w:rPr>
        <w:t>nt in bonds, particularly short ter</w:t>
      </w:r>
      <w:r w:rsidR="0074167B">
        <w:rPr>
          <w:bCs/>
        </w:rPr>
        <w:t>m</w:t>
      </w:r>
      <w:r w:rsidR="00EE6713">
        <w:rPr>
          <w:bCs/>
        </w:rPr>
        <w:t xml:space="preserve"> nominal government bonds and in makam</w:t>
      </w:r>
      <w:r w:rsidR="0074167B">
        <w:rPr>
          <w:bCs/>
        </w:rPr>
        <w:t>,</w:t>
      </w:r>
      <w:r w:rsidR="00EE6713">
        <w:rPr>
          <w:bCs/>
        </w:rPr>
        <w:t xml:space="preserve"> totaling $15 billion, a relatively high investment relative to the scope of investment</w:t>
      </w:r>
      <w:r w:rsidR="0074167B">
        <w:rPr>
          <w:bCs/>
        </w:rPr>
        <w:t xml:space="preserve"> in previous quarters (Figure 2 and Figure 3</w:t>
      </w:r>
      <w:r w:rsidR="00EE6713">
        <w:rPr>
          <w:bCs/>
        </w:rPr>
        <w:t>).</w:t>
      </w:r>
    </w:p>
    <w:p w:rsidR="00477DCC" w:rsidRPr="002C7E33" w:rsidRDefault="00477DCC" w:rsidP="00477DCC">
      <w:pPr>
        <w:pStyle w:val="regpar"/>
        <w:ind w:firstLine="0"/>
      </w:pPr>
    </w:p>
    <w:p w:rsidR="009C3057" w:rsidRPr="002C7E33" w:rsidRDefault="001408C7" w:rsidP="00A321F3">
      <w:pPr>
        <w:pStyle w:val="regpar"/>
        <w:ind w:firstLine="0"/>
        <w:rPr>
          <w:b/>
          <w:bCs/>
        </w:rPr>
      </w:pPr>
      <w:r>
        <w:rPr>
          <w:b/>
          <w:bCs/>
          <w:noProof/>
        </w:rPr>
        <w:drawing>
          <wp:anchor distT="0" distB="0" distL="114300" distR="114300" simplePos="0" relativeHeight="251669504" behindDoc="0" locked="0" layoutInCell="1" allowOverlap="1">
            <wp:simplePos x="0" y="0"/>
            <wp:positionH relativeFrom="column">
              <wp:posOffset>2876550</wp:posOffset>
            </wp:positionH>
            <wp:positionV relativeFrom="paragraph">
              <wp:posOffset>148089</wp:posOffset>
            </wp:positionV>
            <wp:extent cx="2856666" cy="1997681"/>
            <wp:effectExtent l="19050" t="19050" r="20320" b="22225"/>
            <wp:wrapNone/>
            <wp:docPr id="13" name="Picture 13" descr="The figure depicts nonresidents’ investments in the Tel Aviv Stock Exchange over time, broken down by instruments. The figure can be found in the Excel file attached to this notice under the “Figure 3” worksheet." title="Figure 3: Nonresidents’ investments in the Tel Aviv Stock Exchange, by instrumen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6666" cy="1997681"/>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A321F3">
        <w:rPr>
          <w:b/>
          <w:bCs/>
          <w:noProof/>
        </w:rPr>
        <w:drawing>
          <wp:anchor distT="0" distB="0" distL="114300" distR="114300" simplePos="0" relativeHeight="251668480" behindDoc="0" locked="0" layoutInCell="1" allowOverlap="1">
            <wp:simplePos x="0" y="0"/>
            <wp:positionH relativeFrom="column">
              <wp:posOffset>-67304</wp:posOffset>
            </wp:positionH>
            <wp:positionV relativeFrom="paragraph">
              <wp:posOffset>148730</wp:posOffset>
            </wp:positionV>
            <wp:extent cx="2927758" cy="1997075"/>
            <wp:effectExtent l="19050" t="19050" r="25400" b="22225"/>
            <wp:wrapNone/>
            <wp:docPr id="8" name="Picture 8" descr="The figure shows the development over time of the securities portfolio held by nonresidents on the Tel Aviv Stock Exchange, divided into instruments.  The figure can be found in the Excel file attached to this notice, in the worksheet entitled “Figure2”." title="Figure 2: Value of nonresidents’ securities portfolio traded on the Tel Aviv Stock Exchan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28166" cy="1997353"/>
                    </a:xfrm>
                    <a:prstGeom prst="rect">
                      <a:avLst/>
                    </a:prstGeom>
                    <a:noFill/>
                    <a:ln w="9525">
                      <a:solidFill>
                        <a:schemeClr val="tx1"/>
                      </a:solidFill>
                    </a:ln>
                  </pic:spPr>
                </pic:pic>
              </a:graphicData>
            </a:graphic>
            <wp14:sizeRelH relativeFrom="margin">
              <wp14:pctWidth>0</wp14:pctWidth>
            </wp14:sizeRelH>
            <wp14:sizeRelV relativeFrom="margin">
              <wp14:pctHeight>0</wp14:pctHeight>
            </wp14:sizeRelV>
          </wp:anchor>
        </w:drawing>
      </w:r>
    </w:p>
    <w:p w:rsidR="009C3057" w:rsidRPr="002C7E33" w:rsidRDefault="009C3057" w:rsidP="00452111">
      <w:pPr>
        <w:pStyle w:val="regpar"/>
        <w:ind w:firstLine="0"/>
        <w:rPr>
          <w:b/>
          <w:bCs/>
        </w:rPr>
      </w:pPr>
    </w:p>
    <w:p w:rsidR="009C3057" w:rsidRPr="002C7E33" w:rsidRDefault="009C3057" w:rsidP="00452111">
      <w:pPr>
        <w:pStyle w:val="regpar"/>
        <w:ind w:firstLine="0"/>
        <w:rPr>
          <w:b/>
          <w:bCs/>
        </w:rPr>
      </w:pPr>
    </w:p>
    <w:p w:rsidR="009C3057" w:rsidRPr="002C7E33" w:rsidRDefault="009C3057" w:rsidP="00452111">
      <w:pPr>
        <w:pStyle w:val="regpar"/>
        <w:ind w:firstLine="0"/>
        <w:rPr>
          <w:b/>
          <w:bCs/>
        </w:rPr>
      </w:pPr>
    </w:p>
    <w:p w:rsidR="009C3057" w:rsidRPr="002C7E33" w:rsidRDefault="009C3057" w:rsidP="00452111">
      <w:pPr>
        <w:pStyle w:val="regpar"/>
        <w:ind w:firstLine="0"/>
        <w:rPr>
          <w:b/>
          <w:bCs/>
        </w:rPr>
      </w:pPr>
    </w:p>
    <w:p w:rsidR="009C3057" w:rsidRPr="002C7E33" w:rsidRDefault="009C3057" w:rsidP="00452111">
      <w:pPr>
        <w:pStyle w:val="regpar"/>
        <w:ind w:firstLine="0"/>
        <w:rPr>
          <w:b/>
          <w:bCs/>
        </w:rPr>
      </w:pPr>
    </w:p>
    <w:p w:rsidR="009C3057" w:rsidRPr="002C7E33" w:rsidRDefault="009C3057" w:rsidP="00452111">
      <w:pPr>
        <w:pStyle w:val="regpar"/>
        <w:ind w:firstLine="0"/>
        <w:rPr>
          <w:b/>
          <w:bCs/>
        </w:rPr>
      </w:pPr>
    </w:p>
    <w:p w:rsidR="009C3057" w:rsidRPr="002C7E33" w:rsidRDefault="009C3057" w:rsidP="00452111">
      <w:pPr>
        <w:pStyle w:val="regpar"/>
        <w:ind w:firstLine="0"/>
        <w:rPr>
          <w:b/>
          <w:bCs/>
        </w:rPr>
      </w:pPr>
    </w:p>
    <w:p w:rsidR="009C3057" w:rsidRPr="002C7E33" w:rsidRDefault="009C3057" w:rsidP="00452111">
      <w:pPr>
        <w:pStyle w:val="regpar"/>
        <w:ind w:firstLine="0"/>
        <w:rPr>
          <w:b/>
          <w:bCs/>
        </w:rPr>
      </w:pPr>
    </w:p>
    <w:p w:rsidR="009C3057" w:rsidRPr="002C7E33" w:rsidRDefault="009C3057" w:rsidP="00452111">
      <w:pPr>
        <w:pStyle w:val="regpar"/>
        <w:ind w:firstLine="0"/>
        <w:rPr>
          <w:b/>
          <w:bCs/>
        </w:rPr>
      </w:pPr>
    </w:p>
    <w:p w:rsidR="009C3057" w:rsidRPr="002C7E33" w:rsidRDefault="009C3057" w:rsidP="00452111">
      <w:pPr>
        <w:pStyle w:val="regpar"/>
        <w:ind w:firstLine="0"/>
        <w:rPr>
          <w:b/>
          <w:bCs/>
        </w:rPr>
      </w:pPr>
    </w:p>
    <w:p w:rsidR="009C3057" w:rsidRPr="002C7E33" w:rsidRDefault="006657CF" w:rsidP="00452111">
      <w:pPr>
        <w:pStyle w:val="regpar"/>
        <w:ind w:firstLine="0"/>
        <w:rPr>
          <w:b/>
          <w:bCs/>
        </w:rPr>
      </w:pPr>
      <w:r>
        <w:rPr>
          <w:noProof/>
        </w:rPr>
        <mc:AlternateContent>
          <mc:Choice Requires="wps">
            <w:drawing>
              <wp:anchor distT="0" distB="0" distL="114300" distR="114300" simplePos="0" relativeHeight="251674624" behindDoc="0" locked="0" layoutInCell="1" allowOverlap="1" wp14:anchorId="419C7878" wp14:editId="2AC673E1">
                <wp:simplePos x="0" y="0"/>
                <wp:positionH relativeFrom="margin">
                  <wp:posOffset>-1064</wp:posOffset>
                </wp:positionH>
                <wp:positionV relativeFrom="paragraph">
                  <wp:posOffset>107125</wp:posOffset>
                </wp:positionV>
                <wp:extent cx="5735955" cy="258445"/>
                <wp:effectExtent l="0" t="0" r="0" b="8255"/>
                <wp:wrapNone/>
                <wp:docPr id="1" name="תיבת טקסט 1"/>
                <wp:cNvGraphicFramePr/>
                <a:graphic xmlns:a="http://schemas.openxmlformats.org/drawingml/2006/main">
                  <a:graphicData uri="http://schemas.microsoft.com/office/word/2010/wordprocessingShape">
                    <wps:wsp>
                      <wps:cNvSpPr txBox="1"/>
                      <wps:spPr>
                        <a:xfrm>
                          <a:off x="0" y="0"/>
                          <a:ext cx="5735955" cy="258445"/>
                        </a:xfrm>
                        <a:prstGeom prst="rect">
                          <a:avLst/>
                        </a:prstGeom>
                        <a:solidFill>
                          <a:prstClr val="white"/>
                        </a:solidFill>
                        <a:ln>
                          <a:noFill/>
                        </a:ln>
                      </wps:spPr>
                      <wps:txbx>
                        <w:txbxContent>
                          <w:p w:rsidR="006657CF" w:rsidRPr="006657CF" w:rsidRDefault="006657CF" w:rsidP="006657CF">
                            <w:pPr>
                              <w:pStyle w:val="af7"/>
                              <w:bidi w:val="0"/>
                              <w:jc w:val="both"/>
                              <w:rPr>
                                <w:rFonts w:ascii="David" w:hAnsi="David" w:cs="David"/>
                                <w:b/>
                                <w:bCs/>
                                <w:noProof/>
                                <w:color w:val="auto"/>
                                <w:sz w:val="16"/>
                                <w:szCs w:val="16"/>
                              </w:rPr>
                            </w:pPr>
                            <w:r w:rsidRPr="006657CF">
                              <w:rPr>
                                <w:rFonts w:ascii="David" w:hAnsi="David" w:cs="David"/>
                                <w:color w:val="auto"/>
                                <w:sz w:val="16"/>
                                <w:szCs w:val="16"/>
                              </w:rPr>
                              <w:t>Source: Israel Securities Authority, Bank of Israel</w:t>
                            </w:r>
                            <w:r w:rsidR="00DF76E8">
                              <w:rPr>
                                <w:rFonts w:ascii="David" w:hAnsi="David" w:cs="David"/>
                                <w:color w:val="auto"/>
                                <w:sz w:val="16"/>
                                <w:szCs w:val="16"/>
                              </w:rPr>
                              <w:t xml:space="preserve"> data and</w:t>
                            </w:r>
                            <w:r w:rsidRPr="006657CF">
                              <w:rPr>
                                <w:rFonts w:ascii="David" w:hAnsi="David" w:cs="David"/>
                                <w:color w:val="auto"/>
                                <w:sz w:val="16"/>
                                <w:szCs w:val="16"/>
                              </w:rPr>
                              <w:t xml:space="preserve"> compilations </w:t>
                            </w:r>
                            <w:r w:rsidR="00DF76E8" w:rsidRPr="00DF76E8">
                              <w:rPr>
                                <w:rFonts w:ascii="David" w:hAnsi="David" w:cs="David"/>
                                <w:color w:val="auto"/>
                                <w:sz w:val="16"/>
                                <w:szCs w:val="16"/>
                                <w:vertAlign w:val="superscript"/>
                              </w:rPr>
                              <w:t>i</w:t>
                            </w:r>
                          </w:p>
                        </w:txbxContent>
                      </wps:txbx>
                      <wps:bodyPr rot="0" spcFirstLastPara="0" vertOverflow="overflow" horzOverflow="overflow" vert="horz" wrap="square" lIns="0" tIns="0" rIns="0" bIns="0" numCol="1" spcCol="0" rtlCol="1"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19C7878" id="_x0000_t202" coordsize="21600,21600" o:spt="202" path="m,l,21600r21600,l21600,xe">
                <v:stroke joinstyle="miter"/>
                <v:path gradientshapeok="t" o:connecttype="rect"/>
              </v:shapetype>
              <v:shape id="תיבת טקסט 1" o:spid="_x0000_s1026" type="#_x0000_t202" style="position:absolute;left:0;text-align:left;margin-left:-.1pt;margin-top:8.45pt;width:451.65pt;height:20.35pt;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" stroked="f">
                <v:textbox style="mso-fit-shape-to-text:t" inset="0,0,0,0">
                  <w:txbxContent>
                    <w:p w:rsidR="006657CF" w:rsidRPr="006657CF" w:rsidRDefault="006657CF" w:rsidP="006657CF">
                      <w:pPr>
                        <w:pStyle w:val="af7"/>
                        <w:bidi w:val="0"/>
                        <w:jc w:val="both"/>
                        <w:rPr>
                          <w:rFonts w:ascii="David" w:hAnsi="David" w:cs="David"/>
                          <w:b/>
                          <w:bCs/>
                          <w:noProof/>
                          <w:color w:val="auto"/>
                          <w:sz w:val="16"/>
                          <w:szCs w:val="16"/>
                        </w:rPr>
                      </w:pPr>
                      <w:r w:rsidRPr="006657CF">
                        <w:rPr>
                          <w:rFonts w:ascii="David" w:hAnsi="David" w:cs="David"/>
                          <w:color w:val="auto"/>
                          <w:sz w:val="16"/>
                          <w:szCs w:val="16"/>
                        </w:rPr>
                        <w:t>Source: Israel Securities Authority, Bank of Israel</w:t>
                      </w:r>
                      <w:r w:rsidR="00DF76E8">
                        <w:rPr>
                          <w:rFonts w:ascii="David" w:hAnsi="David" w:cs="David"/>
                          <w:color w:val="auto"/>
                          <w:sz w:val="16"/>
                          <w:szCs w:val="16"/>
                        </w:rPr>
                        <w:t xml:space="preserve"> data and</w:t>
                      </w:r>
                      <w:r w:rsidRPr="006657CF">
                        <w:rPr>
                          <w:rFonts w:ascii="David" w:hAnsi="David" w:cs="David"/>
                          <w:color w:val="auto"/>
                          <w:sz w:val="16"/>
                          <w:szCs w:val="16"/>
                        </w:rPr>
                        <w:t xml:space="preserve"> compilations </w:t>
                      </w:r>
                      <w:r w:rsidR="00DF76E8" w:rsidRPr="00DF76E8">
                        <w:rPr>
                          <w:rFonts w:ascii="David" w:hAnsi="David" w:cs="David"/>
                          <w:color w:val="auto"/>
                          <w:sz w:val="16"/>
                          <w:szCs w:val="16"/>
                          <w:vertAlign w:val="superscript"/>
                        </w:rPr>
                        <w:t>i</w:t>
                      </w:r>
                    </w:p>
                  </w:txbxContent>
                </v:textbox>
                <w10:wrap anchorx="margin"/>
              </v:shape>
            </w:pict>
          </mc:Fallback>
        </mc:AlternateContent>
      </w:r>
    </w:p>
    <w:p w:rsidR="009C3057" w:rsidRPr="002C7E33" w:rsidRDefault="009C3057" w:rsidP="00452111">
      <w:pPr>
        <w:pStyle w:val="regpar"/>
        <w:ind w:firstLine="0"/>
        <w:rPr>
          <w:b/>
          <w:bCs/>
        </w:rPr>
      </w:pPr>
    </w:p>
    <w:p w:rsidR="007409AC" w:rsidRPr="002C7E33" w:rsidRDefault="007409AC" w:rsidP="002E3D4B">
      <w:pPr>
        <w:pStyle w:val="regpar"/>
        <w:ind w:firstLine="0"/>
        <w:outlineLvl w:val="0"/>
        <w:rPr>
          <w:b/>
          <w:bCs/>
        </w:rPr>
      </w:pPr>
      <w:r w:rsidRPr="002C7E33">
        <w:rPr>
          <w:b/>
          <w:bCs/>
        </w:rPr>
        <w:t xml:space="preserve">The value of other investments in the economy </w:t>
      </w:r>
      <w:r w:rsidR="00B52A01">
        <w:rPr>
          <w:b/>
          <w:bCs/>
        </w:rPr>
        <w:t>remained sim</w:t>
      </w:r>
      <w:r w:rsidR="002E3D4B">
        <w:rPr>
          <w:b/>
          <w:bCs/>
        </w:rPr>
        <w:t>ilar to that of the previous quart</w:t>
      </w:r>
      <w:r w:rsidR="00B52A01">
        <w:rPr>
          <w:b/>
          <w:bCs/>
        </w:rPr>
        <w:t xml:space="preserve">er, </w:t>
      </w:r>
      <w:r w:rsidR="00C33A74" w:rsidRPr="002C7E33">
        <w:t>mainly as a resu</w:t>
      </w:r>
      <w:r w:rsidRPr="002C7E33">
        <w:t>l</w:t>
      </w:r>
      <w:r w:rsidR="00C33A74" w:rsidRPr="002C7E33">
        <w:t>t</w:t>
      </w:r>
      <w:r w:rsidRPr="002C7E33">
        <w:t xml:space="preserve"> of </w:t>
      </w:r>
      <w:r w:rsidR="00477DCC">
        <w:t>growth of about $</w:t>
      </w:r>
      <w:r w:rsidR="00B52A01">
        <w:t xml:space="preserve">0.6 </w:t>
      </w:r>
      <w:r w:rsidR="00477DCC">
        <w:t xml:space="preserve">billion in suppliers’ credit </w:t>
      </w:r>
      <w:r w:rsidR="00B52A01">
        <w:t xml:space="preserve">which was fully offset by </w:t>
      </w:r>
      <w:r w:rsidR="002E3D4B">
        <w:t xml:space="preserve">a similar amount in </w:t>
      </w:r>
      <w:r w:rsidR="00B52A01">
        <w:t xml:space="preserve">net withdrawals from </w:t>
      </w:r>
      <w:r w:rsidR="00F63070">
        <w:t xml:space="preserve">deposits of </w:t>
      </w:r>
      <w:r w:rsidR="00B52A01">
        <w:t>nonresid</w:t>
      </w:r>
      <w:r w:rsidR="002E3D4B">
        <w:t>e</w:t>
      </w:r>
      <w:r w:rsidR="00B52A01">
        <w:t xml:space="preserve">nts and </w:t>
      </w:r>
      <w:r w:rsidR="00F63070">
        <w:t>foreign banks</w:t>
      </w:r>
      <w:r w:rsidR="00477DCC">
        <w:t>.</w:t>
      </w:r>
    </w:p>
    <w:p w:rsidR="007409AC" w:rsidRPr="002C7E33" w:rsidRDefault="007409AC" w:rsidP="007409AC">
      <w:pPr>
        <w:pStyle w:val="regpar"/>
        <w:ind w:firstLine="0"/>
        <w:outlineLvl w:val="0"/>
        <w:rPr>
          <w:b/>
          <w:bCs/>
        </w:rPr>
      </w:pPr>
    </w:p>
    <w:p w:rsidR="008F2F3B" w:rsidRPr="002C7E33" w:rsidRDefault="008F2F3B" w:rsidP="00021454">
      <w:pPr>
        <w:pStyle w:val="regpar"/>
        <w:ind w:firstLine="0"/>
        <w:outlineLvl w:val="0"/>
      </w:pPr>
      <w:r w:rsidRPr="002C7E33">
        <w:rPr>
          <w:b/>
          <w:bCs/>
        </w:rPr>
        <w:t xml:space="preserve">The balance of liabilities in debt instruments alone, </w:t>
      </w:r>
      <w:r w:rsidRPr="00F879AC">
        <w:t>which makes up</w:t>
      </w:r>
      <w:r w:rsidRPr="002C7E33">
        <w:rPr>
          <w:b/>
          <w:bCs/>
        </w:rPr>
        <w:t xml:space="preserve"> Israel's gross external debt,</w:t>
      </w:r>
      <w:r w:rsidRPr="002C7E33">
        <w:t xml:space="preserve"> </w:t>
      </w:r>
      <w:r w:rsidR="00783BF6" w:rsidRPr="002C7E33">
        <w:t>increase</w:t>
      </w:r>
      <w:r w:rsidRPr="002C7E33">
        <w:t>d by about $</w:t>
      </w:r>
      <w:r w:rsidR="00FE4BDF">
        <w:t xml:space="preserve">13 </w:t>
      </w:r>
      <w:r w:rsidRPr="002C7E33">
        <w:t>billion (</w:t>
      </w:r>
      <w:r w:rsidR="00FE4BDF">
        <w:t>10</w:t>
      </w:r>
      <w:r w:rsidR="00B45CBD">
        <w:t xml:space="preserve"> </w:t>
      </w:r>
      <w:r w:rsidRPr="002C7E33">
        <w:t xml:space="preserve">percent) in the </w:t>
      </w:r>
      <w:r w:rsidR="00510B33">
        <w:t>first quarter</w:t>
      </w:r>
      <w:r w:rsidR="00A53A8A" w:rsidRPr="002C7E33">
        <w:t>,</w:t>
      </w:r>
      <w:r w:rsidRPr="002C7E33">
        <w:t xml:space="preserve"> to $</w:t>
      </w:r>
      <w:r w:rsidR="00FE4BDF">
        <w:t xml:space="preserve">143 </w:t>
      </w:r>
      <w:r w:rsidRPr="002C7E33">
        <w:t xml:space="preserve">billion, mainly </w:t>
      </w:r>
      <w:r w:rsidR="00021454">
        <w:t>as a result of net investment in bonds.</w:t>
      </w:r>
    </w:p>
    <w:p w:rsidR="00284C45" w:rsidRPr="002C7E33" w:rsidRDefault="00284C45" w:rsidP="00DE255D">
      <w:pPr>
        <w:pStyle w:val="regpar"/>
        <w:ind w:firstLine="0"/>
        <w:rPr>
          <w:b/>
          <w:bCs/>
        </w:rPr>
      </w:pPr>
    </w:p>
    <w:p w:rsidR="00862889" w:rsidRPr="002C7E33" w:rsidRDefault="008F2F3B" w:rsidP="00A74259">
      <w:pPr>
        <w:pStyle w:val="regpar"/>
        <w:ind w:firstLine="0"/>
      </w:pPr>
      <w:r w:rsidRPr="002C7E33">
        <w:rPr>
          <w:b/>
          <w:bCs/>
        </w:rPr>
        <w:t>The ratio of gross external debt to GDP</w:t>
      </w:r>
      <w:r w:rsidR="0026295C" w:rsidRPr="002C7E33">
        <w:t xml:space="preserve"> </w:t>
      </w:r>
      <w:r w:rsidR="00F101AD">
        <w:t xml:space="preserve">increased </w:t>
      </w:r>
      <w:r w:rsidR="0026295C" w:rsidRPr="002C7E33">
        <w:t xml:space="preserve">by </w:t>
      </w:r>
      <w:r w:rsidR="00A74259">
        <w:t xml:space="preserve">an anomalous </w:t>
      </w:r>
      <w:r w:rsidR="00FE4BDF">
        <w:t xml:space="preserve">2.5 </w:t>
      </w:r>
      <w:r w:rsidR="0026295C" w:rsidRPr="002C7E33">
        <w:t xml:space="preserve">percentage points </w:t>
      </w:r>
      <w:r w:rsidRPr="002C7E33">
        <w:t xml:space="preserve">in the </w:t>
      </w:r>
      <w:r w:rsidR="00510B33">
        <w:t>first quarter</w:t>
      </w:r>
      <w:r w:rsidRPr="002C7E33">
        <w:t xml:space="preserve">, to </w:t>
      </w:r>
      <w:r w:rsidR="00FB5C21">
        <w:t>3</w:t>
      </w:r>
      <w:r w:rsidR="00FE4BDF">
        <w:t>5</w:t>
      </w:r>
      <w:r w:rsidR="00FB5C21">
        <w:t xml:space="preserve"> </w:t>
      </w:r>
      <w:r w:rsidRPr="002C7E33">
        <w:t xml:space="preserve">percent at the end of </w:t>
      </w:r>
      <w:r w:rsidR="00510B33">
        <w:t>March</w:t>
      </w:r>
      <w:r w:rsidR="00F101AD">
        <w:t xml:space="preserve">. The increase </w:t>
      </w:r>
      <w:r w:rsidR="0087035A" w:rsidRPr="002C7E33">
        <w:t>in the debt</w:t>
      </w:r>
      <w:r w:rsidR="00DE255D" w:rsidRPr="002C7E33">
        <w:t xml:space="preserve"> to </w:t>
      </w:r>
      <w:r w:rsidR="0087035A" w:rsidRPr="002C7E33">
        <w:t>GDP ratio reflected a</w:t>
      </w:r>
      <w:r w:rsidR="0084264F">
        <w:t xml:space="preserve">n </w:t>
      </w:r>
      <w:r w:rsidR="00783BF6" w:rsidRPr="002C7E33">
        <w:t>increase</w:t>
      </w:r>
      <w:r w:rsidR="0087035A" w:rsidRPr="002C7E33">
        <w:t xml:space="preserve"> </w:t>
      </w:r>
      <w:r w:rsidR="00F101AD">
        <w:t xml:space="preserve">of </w:t>
      </w:r>
      <w:r w:rsidR="00FE4BDF">
        <w:t xml:space="preserve">10 </w:t>
      </w:r>
      <w:r w:rsidR="00F101AD">
        <w:t>percen</w:t>
      </w:r>
      <w:r w:rsidR="00FE4BDF">
        <w:t xml:space="preserve">t </w:t>
      </w:r>
      <w:r w:rsidR="00F101AD" w:rsidRPr="002C7E33">
        <w:t xml:space="preserve">in the balance of gross external debt </w:t>
      </w:r>
      <w:r w:rsidR="00F101AD">
        <w:t xml:space="preserve">as opposed to </w:t>
      </w:r>
      <w:r w:rsidR="0084264F" w:rsidRPr="00A321F3">
        <w:t xml:space="preserve">an increase of only </w:t>
      </w:r>
      <w:r w:rsidR="00FB5C21" w:rsidRPr="00A321F3">
        <w:t xml:space="preserve">2 </w:t>
      </w:r>
      <w:r w:rsidR="00FE4BDF" w:rsidRPr="00A321F3">
        <w:t xml:space="preserve">percent </w:t>
      </w:r>
      <w:r w:rsidR="0087035A" w:rsidRPr="00A321F3">
        <w:t xml:space="preserve">in </w:t>
      </w:r>
      <w:r w:rsidR="00473516" w:rsidRPr="00A321F3">
        <w:t xml:space="preserve">GDP </w:t>
      </w:r>
      <w:r w:rsidR="00F101AD" w:rsidRPr="00A321F3">
        <w:t>(</w:t>
      </w:r>
      <w:r w:rsidR="00F101AD">
        <w:t xml:space="preserve">in dollar terms) </w:t>
      </w:r>
      <w:r w:rsidRPr="002C7E33">
        <w:t>(Figure 4)</w:t>
      </w:r>
      <w:r w:rsidR="00AF026D" w:rsidRPr="002C7E33">
        <w:t>.</w:t>
      </w:r>
    </w:p>
    <w:p w:rsidR="008F2F3B" w:rsidRPr="002C7E33" w:rsidRDefault="008F2F3B" w:rsidP="00783BF6">
      <w:pPr>
        <w:pStyle w:val="regpar"/>
        <w:ind w:firstLine="0"/>
      </w:pPr>
    </w:p>
    <w:p w:rsidR="00DD15DC" w:rsidRPr="002C7E33" w:rsidRDefault="001408C7" w:rsidP="00DD15DC">
      <w:pPr>
        <w:pStyle w:val="regpar"/>
        <w:ind w:firstLine="0"/>
        <w:rPr>
          <w:bCs/>
        </w:rPr>
      </w:pPr>
      <w:r>
        <w:rPr>
          <w:bCs/>
          <w:noProof/>
        </w:rPr>
        <w:drawing>
          <wp:anchor distT="0" distB="0" distL="114300" distR="114300" simplePos="0" relativeHeight="251670528" behindDoc="0" locked="0" layoutInCell="1" allowOverlap="1">
            <wp:simplePos x="0" y="0"/>
            <wp:positionH relativeFrom="column">
              <wp:posOffset>444424</wp:posOffset>
            </wp:positionH>
            <wp:positionV relativeFrom="paragraph">
              <wp:posOffset>5068</wp:posOffset>
            </wp:positionV>
            <wp:extent cx="4620112" cy="2743200"/>
            <wp:effectExtent l="0" t="0" r="9525" b="0"/>
            <wp:wrapNone/>
            <wp:docPr id="14" name="Picture 14" descr="The figure shows the development over time of the gross external debt to GDP ratio.  The figure can be found in the Excel file attached to this notice, in the worksheet entitled “Figure4”." title="Figure 4: Gross external debt to GDP rat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35549" cy="2752366"/>
                    </a:xfrm>
                    <a:prstGeom prst="rect">
                      <a:avLst/>
                    </a:prstGeom>
                    <a:noFill/>
                  </pic:spPr>
                </pic:pic>
              </a:graphicData>
            </a:graphic>
            <wp14:sizeRelH relativeFrom="page">
              <wp14:pctWidth>0</wp14:pctWidth>
            </wp14:sizeRelH>
            <wp14:sizeRelV relativeFrom="page">
              <wp14:pctHeight>0</wp14:pctHeight>
            </wp14:sizeRelV>
          </wp:anchor>
        </w:drawing>
      </w:r>
    </w:p>
    <w:p w:rsidR="00B732F9" w:rsidRPr="002C7E33" w:rsidRDefault="00B732F9" w:rsidP="00DD15DC">
      <w:pPr>
        <w:pStyle w:val="regpar"/>
        <w:ind w:firstLine="0"/>
        <w:rPr>
          <w:bCs/>
        </w:rPr>
      </w:pPr>
    </w:p>
    <w:p w:rsidR="00B732F9" w:rsidRPr="002C7E33" w:rsidRDefault="00B732F9" w:rsidP="00DD15DC">
      <w:pPr>
        <w:pStyle w:val="regpar"/>
        <w:ind w:firstLine="0"/>
        <w:rPr>
          <w:bCs/>
        </w:rPr>
      </w:pPr>
    </w:p>
    <w:p w:rsidR="00B16BBB" w:rsidRPr="002C7E33" w:rsidRDefault="00B16BBB" w:rsidP="00DD15DC">
      <w:pPr>
        <w:pStyle w:val="regpar"/>
        <w:ind w:firstLine="0"/>
        <w:rPr>
          <w:bCs/>
        </w:rPr>
      </w:pPr>
    </w:p>
    <w:p w:rsidR="00B16BBB" w:rsidRPr="002C7E33" w:rsidRDefault="00B16BBB" w:rsidP="00DD15DC">
      <w:pPr>
        <w:pStyle w:val="regpar"/>
        <w:ind w:firstLine="0"/>
        <w:rPr>
          <w:bCs/>
        </w:rPr>
      </w:pPr>
    </w:p>
    <w:p w:rsidR="00B16BBB" w:rsidRPr="002C7E33" w:rsidRDefault="00B16BBB" w:rsidP="00DD15DC">
      <w:pPr>
        <w:pStyle w:val="regpar"/>
        <w:ind w:firstLine="0"/>
        <w:rPr>
          <w:bCs/>
        </w:rPr>
      </w:pPr>
    </w:p>
    <w:p w:rsidR="00B16BBB" w:rsidRPr="002C7E33" w:rsidRDefault="00B16BBB" w:rsidP="00DD15DC">
      <w:pPr>
        <w:pStyle w:val="regpar"/>
        <w:ind w:firstLine="0"/>
        <w:rPr>
          <w:bCs/>
        </w:rPr>
      </w:pPr>
    </w:p>
    <w:p w:rsidR="00B16BBB" w:rsidRPr="002C7E33" w:rsidRDefault="00B16BBB" w:rsidP="00DD15DC">
      <w:pPr>
        <w:pStyle w:val="regpar"/>
        <w:ind w:firstLine="0"/>
        <w:rPr>
          <w:bCs/>
        </w:rPr>
      </w:pPr>
    </w:p>
    <w:p w:rsidR="00B16BBB" w:rsidRPr="002C7E33" w:rsidRDefault="00B16BBB" w:rsidP="00DD15DC">
      <w:pPr>
        <w:pStyle w:val="regpar"/>
        <w:ind w:firstLine="0"/>
        <w:rPr>
          <w:bCs/>
        </w:rPr>
      </w:pPr>
    </w:p>
    <w:p w:rsidR="00B16BBB" w:rsidRPr="002C7E33" w:rsidRDefault="00B16BBB" w:rsidP="00DD15DC">
      <w:pPr>
        <w:pStyle w:val="regpar"/>
        <w:ind w:firstLine="0"/>
        <w:rPr>
          <w:bCs/>
        </w:rPr>
      </w:pPr>
    </w:p>
    <w:p w:rsidR="00B16BBB" w:rsidRPr="002C7E33" w:rsidRDefault="00B16BBB" w:rsidP="00DD15DC">
      <w:pPr>
        <w:pStyle w:val="regpar"/>
        <w:ind w:firstLine="0"/>
        <w:rPr>
          <w:bCs/>
        </w:rPr>
      </w:pPr>
    </w:p>
    <w:p w:rsidR="00B16BBB" w:rsidRPr="002C7E33" w:rsidRDefault="00B16BBB" w:rsidP="00DD15DC">
      <w:pPr>
        <w:pStyle w:val="regpar"/>
        <w:ind w:firstLine="0"/>
        <w:rPr>
          <w:bCs/>
        </w:rPr>
      </w:pPr>
    </w:p>
    <w:p w:rsidR="006657CF" w:rsidRDefault="006657CF" w:rsidP="006657CF">
      <w:pPr>
        <w:bidi w:val="0"/>
        <w:rPr>
          <w:rFonts w:ascii="Times" w:hAnsi="Times" w:cs="Times"/>
          <w:bCs/>
        </w:rPr>
      </w:pPr>
    </w:p>
    <w:p w:rsidR="006657CF" w:rsidRDefault="006657CF" w:rsidP="006657CF">
      <w:pPr>
        <w:bidi w:val="0"/>
        <w:rPr>
          <w:rFonts w:ascii="Times" w:hAnsi="Times" w:cs="Times"/>
          <w:bCs/>
        </w:rPr>
      </w:pPr>
    </w:p>
    <w:p w:rsidR="006657CF" w:rsidRDefault="006657CF" w:rsidP="006657CF">
      <w:pPr>
        <w:bidi w:val="0"/>
        <w:rPr>
          <w:rFonts w:ascii="Times" w:hAnsi="Times" w:cs="Times"/>
          <w:bCs/>
        </w:rPr>
      </w:pPr>
      <w:r>
        <w:rPr>
          <w:noProof/>
        </w:rPr>
        <mc:AlternateContent>
          <mc:Choice Requires="wps">
            <w:drawing>
              <wp:anchor distT="0" distB="0" distL="114300" distR="114300" simplePos="0" relativeHeight="251676672" behindDoc="0" locked="0" layoutInCell="1" allowOverlap="1" wp14:anchorId="356EA713" wp14:editId="710C5DAA">
                <wp:simplePos x="0" y="0"/>
                <wp:positionH relativeFrom="column">
                  <wp:posOffset>431800</wp:posOffset>
                </wp:positionH>
                <wp:positionV relativeFrom="paragraph">
                  <wp:posOffset>142949</wp:posOffset>
                </wp:positionV>
                <wp:extent cx="4536374" cy="100940"/>
                <wp:effectExtent l="0" t="0" r="0" b="0"/>
                <wp:wrapNone/>
                <wp:docPr id="2" name="תיבת טקסט 2"/>
                <wp:cNvGraphicFramePr/>
                <a:graphic xmlns:a="http://schemas.openxmlformats.org/drawingml/2006/main">
                  <a:graphicData uri="http://schemas.microsoft.com/office/word/2010/wordprocessingShape">
                    <wps:wsp>
                      <wps:cNvSpPr txBox="1"/>
                      <wps:spPr>
                        <a:xfrm>
                          <a:off x="0" y="0"/>
                          <a:ext cx="4536374" cy="100940"/>
                        </a:xfrm>
                        <a:prstGeom prst="rect">
                          <a:avLst/>
                        </a:prstGeom>
                        <a:solidFill>
                          <a:prstClr val="white"/>
                        </a:solidFill>
                        <a:ln>
                          <a:noFill/>
                        </a:ln>
                      </wps:spPr>
                      <wps:txbx>
                        <w:txbxContent>
                          <w:p w:rsidR="006657CF" w:rsidRPr="006657CF" w:rsidRDefault="006657CF" w:rsidP="00DF76E8">
                            <w:pPr>
                              <w:pStyle w:val="af7"/>
                              <w:bidi w:val="0"/>
                              <w:rPr>
                                <w:rFonts w:ascii="David" w:hAnsi="David" w:cs="David"/>
                                <w:bCs/>
                                <w:noProof/>
                                <w:color w:val="auto"/>
                                <w:sz w:val="16"/>
                                <w:szCs w:val="16"/>
                              </w:rPr>
                            </w:pPr>
                            <w:r w:rsidRPr="006657CF">
                              <w:rPr>
                                <w:rFonts w:ascii="David" w:hAnsi="David" w:cs="David"/>
                                <w:color w:val="auto"/>
                                <w:sz w:val="16"/>
                                <w:szCs w:val="16"/>
                              </w:rPr>
                              <w:t>Source: Ministry of Treasury, Israel's Central Bureau of Statistics</w:t>
                            </w:r>
                            <w:r w:rsidR="00DF76E8">
                              <w:rPr>
                                <w:rFonts w:ascii="David" w:hAnsi="David" w:cs="David"/>
                                <w:color w:val="auto"/>
                                <w:sz w:val="16"/>
                                <w:szCs w:val="16"/>
                              </w:rPr>
                              <w:t xml:space="preserve">, </w:t>
                            </w:r>
                            <w:r w:rsidRPr="006657CF">
                              <w:rPr>
                                <w:rFonts w:ascii="David" w:hAnsi="David" w:cs="David"/>
                                <w:color w:val="auto"/>
                                <w:sz w:val="16"/>
                                <w:szCs w:val="16"/>
                              </w:rPr>
                              <w:t xml:space="preserve">Bank of Israel </w:t>
                            </w:r>
                            <w:r w:rsidR="00DF76E8">
                              <w:rPr>
                                <w:rFonts w:ascii="David" w:hAnsi="David" w:cs="David"/>
                                <w:color w:val="auto"/>
                                <w:sz w:val="16"/>
                                <w:szCs w:val="16"/>
                              </w:rPr>
                              <w:t xml:space="preserve">data and </w:t>
                            </w:r>
                            <w:r w:rsidRPr="006657CF">
                              <w:rPr>
                                <w:rFonts w:ascii="David" w:hAnsi="David" w:cs="David"/>
                                <w:color w:val="auto"/>
                                <w:sz w:val="16"/>
                                <w:szCs w:val="16"/>
                              </w:rPr>
                              <w:t>compilations</w:t>
                            </w:r>
                            <w:r w:rsidR="00DF76E8">
                              <w:rPr>
                                <w:rFonts w:ascii="David" w:hAnsi="David" w:cs="David"/>
                                <w:color w:val="auto"/>
                                <w:sz w:val="16"/>
                                <w:szCs w:val="16"/>
                              </w:rPr>
                              <w:t xml:space="preserve"> </w:t>
                            </w:r>
                            <w:r w:rsidR="00DF76E8" w:rsidRPr="00DF76E8">
                              <w:rPr>
                                <w:rFonts w:ascii="David" w:hAnsi="David" w:cs="David"/>
                                <w:color w:val="auto"/>
                                <w:sz w:val="16"/>
                                <w:szCs w:val="16"/>
                                <w:vertAlign w:val="superscript"/>
                              </w:rPr>
                              <w:t>i</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EA713" id="תיבת טקסט 2" o:spid="_x0000_s1027" type="#_x0000_t202" style="position:absolute;margin-left:34pt;margin-top:11.25pt;width:357.2pt;height:7.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" stroked="f">
                <v:textbox inset="0,0,0,0">
                  <w:txbxContent>
                    <w:p w:rsidR="006657CF" w:rsidRPr="006657CF" w:rsidRDefault="006657CF" w:rsidP="00DF76E8">
                      <w:pPr>
                        <w:pStyle w:val="af7"/>
                        <w:bidi w:val="0"/>
                        <w:rPr>
                          <w:rFonts w:ascii="David" w:hAnsi="David" w:cs="David"/>
                          <w:bCs/>
                          <w:noProof/>
                          <w:color w:val="auto"/>
                          <w:sz w:val="16"/>
                          <w:szCs w:val="16"/>
                        </w:rPr>
                      </w:pPr>
                      <w:r w:rsidRPr="006657CF">
                        <w:rPr>
                          <w:rFonts w:ascii="David" w:hAnsi="David" w:cs="David"/>
                          <w:color w:val="auto"/>
                          <w:sz w:val="16"/>
                          <w:szCs w:val="16"/>
                        </w:rPr>
                        <w:t>Source: Ministry of Treasury, Israel's Central Bureau of Statistics</w:t>
                      </w:r>
                      <w:r w:rsidR="00DF76E8">
                        <w:rPr>
                          <w:rFonts w:ascii="David" w:hAnsi="David" w:cs="David"/>
                          <w:color w:val="auto"/>
                          <w:sz w:val="16"/>
                          <w:szCs w:val="16"/>
                        </w:rPr>
                        <w:t xml:space="preserve">, </w:t>
                      </w:r>
                      <w:r w:rsidRPr="006657CF">
                        <w:rPr>
                          <w:rFonts w:ascii="David" w:hAnsi="David" w:cs="David"/>
                          <w:color w:val="auto"/>
                          <w:sz w:val="16"/>
                          <w:szCs w:val="16"/>
                        </w:rPr>
                        <w:t xml:space="preserve">Bank of Israel </w:t>
                      </w:r>
                      <w:r w:rsidR="00DF76E8">
                        <w:rPr>
                          <w:rFonts w:ascii="David" w:hAnsi="David" w:cs="David"/>
                          <w:color w:val="auto"/>
                          <w:sz w:val="16"/>
                          <w:szCs w:val="16"/>
                        </w:rPr>
                        <w:t xml:space="preserve">data and </w:t>
                      </w:r>
                      <w:r w:rsidRPr="006657CF">
                        <w:rPr>
                          <w:rFonts w:ascii="David" w:hAnsi="David" w:cs="David"/>
                          <w:color w:val="auto"/>
                          <w:sz w:val="16"/>
                          <w:szCs w:val="16"/>
                        </w:rPr>
                        <w:t>compilations</w:t>
                      </w:r>
                      <w:r w:rsidR="00DF76E8">
                        <w:rPr>
                          <w:rFonts w:ascii="David" w:hAnsi="David" w:cs="David"/>
                          <w:color w:val="auto"/>
                          <w:sz w:val="16"/>
                          <w:szCs w:val="16"/>
                        </w:rPr>
                        <w:t xml:space="preserve"> </w:t>
                      </w:r>
                      <w:r w:rsidR="00DF76E8" w:rsidRPr="00DF76E8">
                        <w:rPr>
                          <w:rFonts w:ascii="David" w:hAnsi="David" w:cs="David"/>
                          <w:color w:val="auto"/>
                          <w:sz w:val="16"/>
                          <w:szCs w:val="16"/>
                          <w:vertAlign w:val="superscript"/>
                        </w:rPr>
                        <w:t>i</w:t>
                      </w:r>
                    </w:p>
                  </w:txbxContent>
                </v:textbox>
              </v:shape>
            </w:pict>
          </mc:Fallback>
        </mc:AlternateContent>
      </w:r>
    </w:p>
    <w:p w:rsidR="006657CF" w:rsidRDefault="006657CF" w:rsidP="006657CF">
      <w:pPr>
        <w:bidi w:val="0"/>
        <w:rPr>
          <w:rFonts w:ascii="Times" w:hAnsi="Times" w:cs="Times"/>
          <w:bCs/>
        </w:rPr>
      </w:pPr>
    </w:p>
    <w:p w:rsidR="00B16BBB" w:rsidRPr="002C7E33" w:rsidRDefault="00B16BBB" w:rsidP="00DD15DC">
      <w:pPr>
        <w:pStyle w:val="regpar"/>
        <w:ind w:firstLine="0"/>
        <w:rPr>
          <w:bCs/>
        </w:rPr>
      </w:pPr>
    </w:p>
    <w:p w:rsidR="0020155F" w:rsidRPr="002C7E33" w:rsidRDefault="0020155F" w:rsidP="0020155F">
      <w:pPr>
        <w:pStyle w:val="regpar"/>
        <w:numPr>
          <w:ilvl w:val="0"/>
          <w:numId w:val="4"/>
        </w:numPr>
        <w:rPr>
          <w:b/>
          <w:bCs/>
        </w:rPr>
      </w:pPr>
      <w:r w:rsidRPr="002C7E33">
        <w:rPr>
          <w:b/>
          <w:bCs/>
        </w:rPr>
        <w:t xml:space="preserve">Israel’s surplus assets over liabilities </w:t>
      </w:r>
      <w:r w:rsidR="00E0216F">
        <w:rPr>
          <w:b/>
          <w:bCs/>
        </w:rPr>
        <w:t xml:space="preserve">vis-à-vis </w:t>
      </w:r>
      <w:r w:rsidRPr="002C7E33">
        <w:rPr>
          <w:b/>
          <w:bCs/>
        </w:rPr>
        <w:t>abroad</w:t>
      </w:r>
    </w:p>
    <w:p w:rsidR="0020155F" w:rsidRPr="002C7E33" w:rsidRDefault="0020155F" w:rsidP="0020155F">
      <w:pPr>
        <w:pStyle w:val="regpar"/>
        <w:ind w:firstLine="0"/>
        <w:rPr>
          <w:b/>
          <w:bCs/>
        </w:rPr>
      </w:pPr>
    </w:p>
    <w:p w:rsidR="002D0240" w:rsidRDefault="00A74259" w:rsidP="00A74259">
      <w:pPr>
        <w:autoSpaceDE w:val="0"/>
        <w:autoSpaceDN w:val="0"/>
        <w:bidi w:val="0"/>
        <w:adjustRightInd w:val="0"/>
        <w:jc w:val="both"/>
      </w:pPr>
      <w:r>
        <w:lastRenderedPageBreak/>
        <w:t>An i</w:t>
      </w:r>
      <w:r w:rsidR="007F72EA">
        <w:t>n</w:t>
      </w:r>
      <w:r w:rsidR="002A4BDF">
        <w:t xml:space="preserve">crease in </w:t>
      </w:r>
      <w:r w:rsidR="002A4BDF" w:rsidRPr="002C7E33">
        <w:t xml:space="preserve">outstanding assets that was greater than </w:t>
      </w:r>
      <w:r w:rsidR="00C3441F">
        <w:t>a</w:t>
      </w:r>
      <w:r w:rsidR="00D14E7F">
        <w:t xml:space="preserve">n increase </w:t>
      </w:r>
      <w:r w:rsidR="002A4BDF" w:rsidRPr="002C7E33">
        <w:t xml:space="preserve">in outstanding liabilities </w:t>
      </w:r>
      <w:r w:rsidR="002A4BDF">
        <w:t xml:space="preserve">led to </w:t>
      </w:r>
      <w:r w:rsidR="00D14E7F">
        <w:t>an inc</w:t>
      </w:r>
      <w:r w:rsidR="002A4BDF">
        <w:t>rease of $</w:t>
      </w:r>
      <w:r w:rsidR="00F45181">
        <w:t xml:space="preserve">1.5 </w:t>
      </w:r>
      <w:r w:rsidR="002A4BDF">
        <w:t>billion (</w:t>
      </w:r>
      <w:r w:rsidR="00F45181">
        <w:t xml:space="preserve">0.8 </w:t>
      </w:r>
      <w:r w:rsidR="002A4BDF">
        <w:t xml:space="preserve">percent) </w:t>
      </w:r>
      <w:r w:rsidR="002A4BDF" w:rsidRPr="002C7E33">
        <w:t xml:space="preserve">in surplus assets over liabilities </w:t>
      </w:r>
      <w:r w:rsidR="00D14E7F">
        <w:t xml:space="preserve">vis-à-vis </w:t>
      </w:r>
      <w:r w:rsidR="002A4BDF" w:rsidRPr="002C7E33">
        <w:t>abroad</w:t>
      </w:r>
      <w:r w:rsidR="002A4BDF">
        <w:t xml:space="preserve">, which totaled </w:t>
      </w:r>
      <w:r w:rsidR="0087035A" w:rsidRPr="002C7E33">
        <w:t>about $</w:t>
      </w:r>
      <w:r w:rsidR="00BB73FA">
        <w:t>19</w:t>
      </w:r>
      <w:r w:rsidR="00F45181">
        <w:t>1</w:t>
      </w:r>
      <w:r w:rsidR="00BB73FA">
        <w:t xml:space="preserve"> </w:t>
      </w:r>
      <w:r w:rsidR="0087035A" w:rsidRPr="002C7E33">
        <w:t xml:space="preserve">billion at the end of </w:t>
      </w:r>
      <w:r w:rsidR="00510B33">
        <w:t>March</w:t>
      </w:r>
      <w:r w:rsidR="002A4BDF">
        <w:t xml:space="preserve"> </w:t>
      </w:r>
      <w:r w:rsidR="00DA145B" w:rsidRPr="002C7E33">
        <w:t>(Figure 5)</w:t>
      </w:r>
      <w:r w:rsidR="0020155F" w:rsidRPr="002C7E33">
        <w:t>.</w:t>
      </w:r>
    </w:p>
    <w:p w:rsidR="00C56C59" w:rsidRPr="002C7E33" w:rsidRDefault="00C56C59" w:rsidP="00C56C59">
      <w:pPr>
        <w:autoSpaceDE w:val="0"/>
        <w:autoSpaceDN w:val="0"/>
        <w:bidi w:val="0"/>
        <w:adjustRightInd w:val="0"/>
        <w:jc w:val="both"/>
      </w:pPr>
    </w:p>
    <w:p w:rsidR="00DD15DC" w:rsidRPr="002C7E33" w:rsidRDefault="001408C7" w:rsidP="00DD15DC">
      <w:pPr>
        <w:pStyle w:val="regpar"/>
        <w:ind w:firstLine="0"/>
        <w:outlineLvl w:val="0"/>
      </w:pPr>
      <w:r>
        <w:rPr>
          <w:noProof/>
        </w:rPr>
        <w:drawing>
          <wp:anchor distT="0" distB="0" distL="114300" distR="114300" simplePos="0" relativeHeight="251671552" behindDoc="0" locked="0" layoutInCell="1" allowOverlap="1">
            <wp:simplePos x="0" y="0"/>
            <wp:positionH relativeFrom="column">
              <wp:posOffset>503002</wp:posOffset>
            </wp:positionH>
            <wp:positionV relativeFrom="paragraph">
              <wp:posOffset>6117</wp:posOffset>
            </wp:positionV>
            <wp:extent cx="4726305" cy="2879725"/>
            <wp:effectExtent l="0" t="0" r="0" b="0"/>
            <wp:wrapNone/>
            <wp:docPr id="15" name="Picture 15" descr="The figure shows the development over time of assets, liabilities, and the surplus of assets over liabilities.  The figure can be found in the Excel file attached to this notice in the worksheet entitled “Figure5”." title="Figure 5: Surplus of Israel’s assets over liabilities vis-à-vis ab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26305" cy="2879725"/>
                    </a:xfrm>
                    <a:prstGeom prst="rect">
                      <a:avLst/>
                    </a:prstGeom>
                    <a:noFill/>
                  </pic:spPr>
                </pic:pic>
              </a:graphicData>
            </a:graphic>
            <wp14:sizeRelH relativeFrom="page">
              <wp14:pctWidth>0</wp14:pctWidth>
            </wp14:sizeRelH>
            <wp14:sizeRelV relativeFrom="page">
              <wp14:pctHeight>0</wp14:pctHeight>
            </wp14:sizeRelV>
          </wp:anchor>
        </w:drawing>
      </w:r>
    </w:p>
    <w:p w:rsidR="00DD15DC" w:rsidRPr="002C7E33" w:rsidRDefault="00DD15DC" w:rsidP="00DD15DC">
      <w:pPr>
        <w:pStyle w:val="regpar"/>
        <w:ind w:firstLine="0"/>
        <w:outlineLvl w:val="0"/>
      </w:pPr>
    </w:p>
    <w:p w:rsidR="00B16BBB" w:rsidRPr="002C7E33" w:rsidRDefault="00B16BBB" w:rsidP="00DD15DC">
      <w:pPr>
        <w:pStyle w:val="regpar"/>
        <w:ind w:firstLine="0"/>
        <w:outlineLvl w:val="0"/>
      </w:pPr>
    </w:p>
    <w:p w:rsidR="00B16BBB" w:rsidRPr="002C7E33" w:rsidRDefault="00B16BBB" w:rsidP="00DD15DC">
      <w:pPr>
        <w:pStyle w:val="regpar"/>
        <w:ind w:firstLine="0"/>
        <w:outlineLvl w:val="0"/>
      </w:pPr>
    </w:p>
    <w:p w:rsidR="00B16BBB" w:rsidRPr="002C7E33" w:rsidRDefault="00B16BBB" w:rsidP="00DD15DC">
      <w:pPr>
        <w:pStyle w:val="regpar"/>
        <w:ind w:firstLine="0"/>
        <w:outlineLvl w:val="0"/>
      </w:pPr>
    </w:p>
    <w:p w:rsidR="00B16BBB" w:rsidRPr="002C7E33" w:rsidRDefault="00B16BBB" w:rsidP="00DD15DC">
      <w:pPr>
        <w:pStyle w:val="regpar"/>
        <w:ind w:firstLine="0"/>
        <w:outlineLvl w:val="0"/>
      </w:pPr>
    </w:p>
    <w:p w:rsidR="00B16BBB" w:rsidRPr="002C7E33" w:rsidRDefault="00B16BBB" w:rsidP="00DD15DC">
      <w:pPr>
        <w:pStyle w:val="regpar"/>
        <w:ind w:firstLine="0"/>
        <w:outlineLvl w:val="0"/>
      </w:pPr>
    </w:p>
    <w:p w:rsidR="00B16BBB" w:rsidRPr="002C7E33" w:rsidRDefault="00B16BBB" w:rsidP="00DD15DC">
      <w:pPr>
        <w:pStyle w:val="regpar"/>
        <w:ind w:firstLine="0"/>
        <w:outlineLvl w:val="0"/>
      </w:pPr>
    </w:p>
    <w:p w:rsidR="00B16BBB" w:rsidRPr="002C7E33" w:rsidRDefault="00B16BBB" w:rsidP="00DD15DC">
      <w:pPr>
        <w:pStyle w:val="regpar"/>
        <w:ind w:firstLine="0"/>
        <w:outlineLvl w:val="0"/>
      </w:pPr>
    </w:p>
    <w:p w:rsidR="00B16BBB" w:rsidRPr="002C7E33" w:rsidRDefault="00B16BBB" w:rsidP="00DD15DC">
      <w:pPr>
        <w:pStyle w:val="regpar"/>
        <w:ind w:firstLine="0"/>
        <w:outlineLvl w:val="0"/>
      </w:pPr>
    </w:p>
    <w:p w:rsidR="00B16BBB" w:rsidRPr="002C7E33" w:rsidRDefault="00B16BBB" w:rsidP="00DD15DC">
      <w:pPr>
        <w:pStyle w:val="regpar"/>
        <w:ind w:firstLine="0"/>
        <w:outlineLvl w:val="0"/>
      </w:pPr>
    </w:p>
    <w:p w:rsidR="00B16BBB" w:rsidRPr="002C7E33" w:rsidRDefault="00B16BBB" w:rsidP="00DD15DC">
      <w:pPr>
        <w:pStyle w:val="regpar"/>
        <w:ind w:firstLine="0"/>
        <w:outlineLvl w:val="0"/>
      </w:pPr>
    </w:p>
    <w:p w:rsidR="00B16BBB" w:rsidRPr="002C7E33" w:rsidRDefault="00B16BBB" w:rsidP="00DD15DC">
      <w:pPr>
        <w:pStyle w:val="regpar"/>
        <w:ind w:firstLine="0"/>
        <w:outlineLvl w:val="0"/>
      </w:pPr>
    </w:p>
    <w:p w:rsidR="00B16BBB" w:rsidRPr="002C7E33" w:rsidRDefault="00B16BBB" w:rsidP="00DD15DC">
      <w:pPr>
        <w:pStyle w:val="regpar"/>
        <w:ind w:firstLine="0"/>
        <w:outlineLvl w:val="0"/>
      </w:pPr>
    </w:p>
    <w:p w:rsidR="00B16BBB" w:rsidRPr="002C7E33" w:rsidRDefault="00B16BBB" w:rsidP="00DD15DC">
      <w:pPr>
        <w:pStyle w:val="regpar"/>
        <w:ind w:firstLine="0"/>
        <w:outlineLvl w:val="0"/>
      </w:pPr>
    </w:p>
    <w:p w:rsidR="00B16BBB" w:rsidRPr="002C7E33" w:rsidRDefault="006657CF" w:rsidP="00B16BBB">
      <w:pPr>
        <w:pStyle w:val="regpar"/>
        <w:ind w:left="360" w:firstLine="0"/>
        <w:outlineLvl w:val="0"/>
        <w:rPr>
          <w:b/>
          <w:bCs/>
        </w:rPr>
      </w:pPr>
      <w:r>
        <w:rPr>
          <w:noProof/>
        </w:rPr>
        <mc:AlternateContent>
          <mc:Choice Requires="wps">
            <w:drawing>
              <wp:anchor distT="0" distB="0" distL="114300" distR="114300" simplePos="0" relativeHeight="251678720" behindDoc="0" locked="0" layoutInCell="1" allowOverlap="1" wp14:anchorId="638D5F22" wp14:editId="418787FF">
                <wp:simplePos x="0" y="0"/>
                <wp:positionH relativeFrom="column">
                  <wp:posOffset>515430</wp:posOffset>
                </wp:positionH>
                <wp:positionV relativeFrom="paragraph">
                  <wp:posOffset>29070</wp:posOffset>
                </wp:positionV>
                <wp:extent cx="4726305" cy="130628"/>
                <wp:effectExtent l="0" t="0" r="0" b="3175"/>
                <wp:wrapNone/>
                <wp:docPr id="4" name="תיבת טקסט 4"/>
                <wp:cNvGraphicFramePr/>
                <a:graphic xmlns:a="http://schemas.openxmlformats.org/drawingml/2006/main">
                  <a:graphicData uri="http://schemas.microsoft.com/office/word/2010/wordprocessingShape">
                    <wps:wsp>
                      <wps:cNvSpPr txBox="1"/>
                      <wps:spPr>
                        <a:xfrm>
                          <a:off x="0" y="0"/>
                          <a:ext cx="4726305" cy="130628"/>
                        </a:xfrm>
                        <a:prstGeom prst="rect">
                          <a:avLst/>
                        </a:prstGeom>
                        <a:solidFill>
                          <a:prstClr val="white"/>
                        </a:solidFill>
                        <a:ln>
                          <a:noFill/>
                        </a:ln>
                      </wps:spPr>
                      <wps:txbx>
                        <w:txbxContent>
                          <w:p w:rsidR="006657CF" w:rsidRPr="006657CF" w:rsidRDefault="006657CF" w:rsidP="006657CF">
                            <w:pPr>
                              <w:pStyle w:val="af7"/>
                              <w:bidi w:val="0"/>
                              <w:rPr>
                                <w:rFonts w:ascii="David" w:hAnsi="David" w:cs="David"/>
                                <w:color w:val="auto"/>
                                <w:sz w:val="16"/>
                                <w:szCs w:val="16"/>
                              </w:rPr>
                            </w:pPr>
                            <w:r w:rsidRPr="006657CF">
                              <w:rPr>
                                <w:rFonts w:ascii="David" w:hAnsi="David" w:cs="David"/>
                                <w:color w:val="auto"/>
                                <w:sz w:val="16"/>
                                <w:szCs w:val="16"/>
                              </w:rPr>
                              <w:t xml:space="preserve">Source: Bank of Israel </w:t>
                            </w:r>
                            <w:r w:rsidR="00DF76E8">
                              <w:rPr>
                                <w:rFonts w:ascii="David" w:hAnsi="David" w:cs="David"/>
                                <w:color w:val="auto"/>
                                <w:sz w:val="16"/>
                                <w:szCs w:val="16"/>
                              </w:rPr>
                              <w:t xml:space="preserve">data and </w:t>
                            </w:r>
                            <w:r w:rsidRPr="006657CF">
                              <w:rPr>
                                <w:rFonts w:ascii="David" w:hAnsi="David" w:cs="David"/>
                                <w:color w:val="auto"/>
                                <w:sz w:val="16"/>
                                <w:szCs w:val="16"/>
                              </w:rPr>
                              <w:t>compilations</w:t>
                            </w:r>
                            <w:r w:rsidR="00DF76E8">
                              <w:rPr>
                                <w:rFonts w:ascii="David" w:hAnsi="David" w:cs="David"/>
                                <w:color w:val="auto"/>
                                <w:sz w:val="16"/>
                                <w:szCs w:val="16"/>
                              </w:rPr>
                              <w:t xml:space="preserve"> </w:t>
                            </w:r>
                            <w:r w:rsidR="00DF76E8" w:rsidRPr="00DF76E8">
                              <w:rPr>
                                <w:rFonts w:ascii="David" w:hAnsi="David" w:cs="David"/>
                                <w:color w:val="auto"/>
                                <w:sz w:val="16"/>
                                <w:szCs w:val="16"/>
                                <w:vertAlign w:val="superscript"/>
                              </w:rPr>
                              <w:t>i</w:t>
                            </w:r>
                          </w:p>
                          <w:p w:rsidR="006657CF" w:rsidRPr="006657CF" w:rsidRDefault="006657CF" w:rsidP="006657CF">
                            <w:pPr>
                              <w:bidi w:val="0"/>
                            </w:pP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8D5F22" id="תיבת טקסט 4" o:spid="_x0000_s1028" type="#_x0000_t202" style="position:absolute;left:0;text-align:left;margin-left:40.6pt;margin-top:2.3pt;width:372.15pt;height:10.3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" stroked="f">
                <v:textbox inset="0,0,0,0">
                  <w:txbxContent>
                    <w:p w:rsidR="006657CF" w:rsidRPr="006657CF" w:rsidRDefault="006657CF" w:rsidP="006657CF">
                      <w:pPr>
                        <w:pStyle w:val="af7"/>
                        <w:bidi w:val="0"/>
                        <w:rPr>
                          <w:rFonts w:ascii="David" w:hAnsi="David" w:cs="David"/>
                          <w:color w:val="auto"/>
                          <w:sz w:val="16"/>
                          <w:szCs w:val="16"/>
                        </w:rPr>
                      </w:pPr>
                      <w:r w:rsidRPr="006657CF">
                        <w:rPr>
                          <w:rFonts w:ascii="David" w:hAnsi="David" w:cs="David"/>
                          <w:color w:val="auto"/>
                          <w:sz w:val="16"/>
                          <w:szCs w:val="16"/>
                        </w:rPr>
                        <w:t xml:space="preserve">Source: Bank of Israel </w:t>
                      </w:r>
                      <w:r w:rsidR="00DF76E8">
                        <w:rPr>
                          <w:rFonts w:ascii="David" w:hAnsi="David" w:cs="David"/>
                          <w:color w:val="auto"/>
                          <w:sz w:val="16"/>
                          <w:szCs w:val="16"/>
                        </w:rPr>
                        <w:t xml:space="preserve">data and </w:t>
                      </w:r>
                      <w:r w:rsidRPr="006657CF">
                        <w:rPr>
                          <w:rFonts w:ascii="David" w:hAnsi="David" w:cs="David"/>
                          <w:color w:val="auto"/>
                          <w:sz w:val="16"/>
                          <w:szCs w:val="16"/>
                        </w:rPr>
                        <w:t>compilations</w:t>
                      </w:r>
                      <w:r w:rsidR="00DF76E8">
                        <w:rPr>
                          <w:rFonts w:ascii="David" w:hAnsi="David" w:cs="David"/>
                          <w:color w:val="auto"/>
                          <w:sz w:val="16"/>
                          <w:szCs w:val="16"/>
                        </w:rPr>
                        <w:t xml:space="preserve"> </w:t>
                      </w:r>
                      <w:r w:rsidR="00DF76E8" w:rsidRPr="00DF76E8">
                        <w:rPr>
                          <w:rFonts w:ascii="David" w:hAnsi="David" w:cs="David"/>
                          <w:color w:val="auto"/>
                          <w:sz w:val="16"/>
                          <w:szCs w:val="16"/>
                          <w:vertAlign w:val="superscript"/>
                        </w:rPr>
                        <w:t>i</w:t>
                      </w:r>
                    </w:p>
                    <w:p w:rsidR="006657CF" w:rsidRPr="006657CF" w:rsidRDefault="006657CF" w:rsidP="006657CF">
                      <w:pPr>
                        <w:bidi w:val="0"/>
                      </w:pPr>
                    </w:p>
                  </w:txbxContent>
                </v:textbox>
              </v:shape>
            </w:pict>
          </mc:Fallback>
        </mc:AlternateContent>
      </w:r>
    </w:p>
    <w:p w:rsidR="00763F37" w:rsidRPr="002C7E33" w:rsidRDefault="00F36E24" w:rsidP="00B16BBB">
      <w:pPr>
        <w:pStyle w:val="regpar"/>
        <w:numPr>
          <w:ilvl w:val="0"/>
          <w:numId w:val="4"/>
        </w:numPr>
        <w:outlineLvl w:val="0"/>
      </w:pPr>
      <w:r w:rsidRPr="002C7E33">
        <w:rPr>
          <w:b/>
          <w:bCs/>
        </w:rPr>
        <w:t>N</w:t>
      </w:r>
      <w:r w:rsidR="00DD15DC" w:rsidRPr="002C7E33">
        <w:rPr>
          <w:b/>
          <w:bCs/>
        </w:rPr>
        <w:t>et external debt</w:t>
      </w:r>
    </w:p>
    <w:p w:rsidR="00DD15DC" w:rsidRPr="002C7E33" w:rsidRDefault="00DD15DC" w:rsidP="00DD15DC">
      <w:pPr>
        <w:pStyle w:val="regpar"/>
        <w:ind w:firstLine="0"/>
        <w:outlineLvl w:val="0"/>
      </w:pPr>
    </w:p>
    <w:p w:rsidR="00DD15DC" w:rsidRPr="002C7E33" w:rsidRDefault="002749E1" w:rsidP="00DC480F">
      <w:pPr>
        <w:pStyle w:val="regpar"/>
        <w:ind w:firstLine="0"/>
        <w:outlineLvl w:val="0"/>
      </w:pPr>
      <w:r w:rsidRPr="002C7E33">
        <w:t xml:space="preserve">The surplus of assets over liabilities vis-à-vis abroad in debt instruments alone (negative net external debt) </w:t>
      </w:r>
      <w:r w:rsidR="00DC480F">
        <w:t>de</w:t>
      </w:r>
      <w:r w:rsidR="0066448E" w:rsidRPr="002C7E33">
        <w:t xml:space="preserve">creased by </w:t>
      </w:r>
      <w:r w:rsidR="00B23B66">
        <w:t>$</w:t>
      </w:r>
      <w:r w:rsidR="00DC480F">
        <w:t>5</w:t>
      </w:r>
      <w:r w:rsidR="003138CF">
        <w:t xml:space="preserve"> b</w:t>
      </w:r>
      <w:r w:rsidR="00F61E46" w:rsidRPr="002C7E33">
        <w:t>illion (</w:t>
      </w:r>
      <w:r w:rsidR="00DC480F">
        <w:t>2</w:t>
      </w:r>
      <w:r w:rsidR="003138CF">
        <w:t xml:space="preserve"> </w:t>
      </w:r>
      <w:r w:rsidR="00F61E46" w:rsidRPr="002C7E33">
        <w:t>percent)</w:t>
      </w:r>
      <w:r w:rsidRPr="002C7E33">
        <w:t xml:space="preserve"> during the </w:t>
      </w:r>
      <w:r w:rsidR="00510B33">
        <w:t>first quarter</w:t>
      </w:r>
      <w:r w:rsidRPr="002C7E33">
        <w:t xml:space="preserve">, </w:t>
      </w:r>
      <w:r w:rsidR="00F61E46" w:rsidRPr="002C7E33">
        <w:t>to</w:t>
      </w:r>
      <w:r w:rsidRPr="002C7E33">
        <w:t xml:space="preserve"> $</w:t>
      </w:r>
      <w:r w:rsidR="00DC480F">
        <w:t xml:space="preserve">198 </w:t>
      </w:r>
      <w:r w:rsidR="002A1B95" w:rsidRPr="002C7E33">
        <w:t>b</w:t>
      </w:r>
      <w:r w:rsidRPr="002C7E33">
        <w:t xml:space="preserve">illion at the end of </w:t>
      </w:r>
      <w:r w:rsidR="00510B33">
        <w:t>March</w:t>
      </w:r>
      <w:r w:rsidR="004B7C74">
        <w:t xml:space="preserve"> </w:t>
      </w:r>
      <w:r w:rsidR="00DD15DC" w:rsidRPr="002C7E33">
        <w:t xml:space="preserve">(Figure </w:t>
      </w:r>
      <w:r w:rsidR="00FD4419" w:rsidRPr="002C7E33">
        <w:t>6</w:t>
      </w:r>
      <w:r w:rsidR="00DD15DC" w:rsidRPr="002C7E33">
        <w:t>).</w:t>
      </w:r>
    </w:p>
    <w:p w:rsidR="00DD15DC" w:rsidRPr="002C7E33" w:rsidRDefault="00DD15DC" w:rsidP="00DB17C0">
      <w:pPr>
        <w:pStyle w:val="regpar"/>
        <w:ind w:firstLine="0"/>
        <w:outlineLvl w:val="0"/>
      </w:pPr>
      <w:r w:rsidRPr="002C7E33">
        <w:rPr>
          <w:b/>
          <w:bCs/>
        </w:rPr>
        <w:t>The balance of short-term debt assets</w:t>
      </w:r>
      <w:r w:rsidRPr="002C7E33">
        <w:t xml:space="preserve"> </w:t>
      </w:r>
      <w:r w:rsidR="00A7199E" w:rsidRPr="002C7E33">
        <w:t>(</w:t>
      </w:r>
      <w:r w:rsidR="00B24433" w:rsidRPr="002C7E33">
        <w:t>maturity</w:t>
      </w:r>
      <w:r w:rsidR="00A7199E" w:rsidRPr="002C7E33">
        <w:t>/realization within a year</w:t>
      </w:r>
      <w:r w:rsidR="00A7199E" w:rsidRPr="00A321F3">
        <w:t xml:space="preserve">) </w:t>
      </w:r>
      <w:r w:rsidR="00B34532" w:rsidRPr="00A321F3">
        <w:t xml:space="preserve">increased in the </w:t>
      </w:r>
      <w:r w:rsidR="00510B33" w:rsidRPr="00A321F3">
        <w:t>first quarter</w:t>
      </w:r>
      <w:r w:rsidR="00B34532" w:rsidRPr="00A321F3">
        <w:t xml:space="preserve"> by $</w:t>
      </w:r>
      <w:r w:rsidR="00DC480F" w:rsidRPr="00A321F3">
        <w:t>9</w:t>
      </w:r>
      <w:r w:rsidR="003138CF" w:rsidRPr="00A321F3">
        <w:t xml:space="preserve"> </w:t>
      </w:r>
      <w:r w:rsidR="00CA70DE" w:rsidRPr="00A321F3">
        <w:t>billion</w:t>
      </w:r>
      <w:r w:rsidRPr="00A321F3">
        <w:t xml:space="preserve">, </w:t>
      </w:r>
      <w:r w:rsidR="00B34532" w:rsidRPr="00A321F3">
        <w:t>to $</w:t>
      </w:r>
      <w:r w:rsidR="00DC480F" w:rsidRPr="00A321F3">
        <w:t>341</w:t>
      </w:r>
      <w:r w:rsidR="003138CF" w:rsidRPr="00A321F3">
        <w:t xml:space="preserve"> </w:t>
      </w:r>
      <w:r w:rsidR="00B34532" w:rsidRPr="00A321F3">
        <w:t>billion at the end of the quarter</w:t>
      </w:r>
      <w:r w:rsidR="00B5154C" w:rsidRPr="00A321F3">
        <w:t xml:space="preserve">, </w:t>
      </w:r>
      <w:r w:rsidR="00F61E46" w:rsidRPr="00A321F3">
        <w:t>of which $</w:t>
      </w:r>
      <w:r w:rsidR="00DB17C0" w:rsidRPr="00A321F3">
        <w:t>186</w:t>
      </w:r>
      <w:r w:rsidR="003138CF" w:rsidRPr="00A321F3">
        <w:t xml:space="preserve"> </w:t>
      </w:r>
      <w:r w:rsidR="00F61E46" w:rsidRPr="00A321F3">
        <w:t>billion is the Bank of Israel</w:t>
      </w:r>
      <w:r w:rsidR="00862889" w:rsidRPr="00A321F3">
        <w:t>'s</w:t>
      </w:r>
      <w:r w:rsidR="00F61E46" w:rsidRPr="00A321F3">
        <w:t xml:space="preserve"> foreign exchange reserves. This </w:t>
      </w:r>
      <w:r w:rsidRPr="00A321F3">
        <w:t>reflect</w:t>
      </w:r>
      <w:r w:rsidR="00F61E46" w:rsidRPr="00A321F3">
        <w:t>s</w:t>
      </w:r>
      <w:r w:rsidRPr="00A321F3">
        <w:t xml:space="preserve"> a coverage ratio of </w:t>
      </w:r>
      <w:r w:rsidR="007270FC" w:rsidRPr="00A321F3">
        <w:t>4</w:t>
      </w:r>
      <w:r w:rsidR="002749E1" w:rsidRPr="00A321F3">
        <w:t>.</w:t>
      </w:r>
      <w:r w:rsidR="00DB17C0" w:rsidRPr="00A321F3">
        <w:t>8</w:t>
      </w:r>
      <w:r w:rsidR="002D66E7" w:rsidRPr="00A321F3">
        <w:t xml:space="preserve"> t</w:t>
      </w:r>
      <w:r w:rsidRPr="00A321F3">
        <w:t>imes short-term debt.</w:t>
      </w:r>
    </w:p>
    <w:p w:rsidR="00DD15DC" w:rsidRPr="002C7E33" w:rsidRDefault="00DD15DC" w:rsidP="00DD15DC">
      <w:pPr>
        <w:pStyle w:val="regpar"/>
        <w:ind w:firstLine="0"/>
        <w:outlineLvl w:val="0"/>
      </w:pPr>
    </w:p>
    <w:p w:rsidR="00DD15DC" w:rsidRPr="002C7E33" w:rsidRDefault="00427D78" w:rsidP="00DD15DC">
      <w:pPr>
        <w:pStyle w:val="regpar"/>
        <w:ind w:firstLine="0"/>
        <w:outlineLvl w:val="0"/>
      </w:pPr>
      <w:r>
        <w:rPr>
          <w:noProof/>
        </w:rPr>
        <w:drawing>
          <wp:anchor distT="0" distB="0" distL="114300" distR="114300" simplePos="0" relativeHeight="251672576" behindDoc="0" locked="0" layoutInCell="1" allowOverlap="1">
            <wp:simplePos x="0" y="0"/>
            <wp:positionH relativeFrom="column">
              <wp:posOffset>489585</wp:posOffset>
            </wp:positionH>
            <wp:positionV relativeFrom="paragraph">
              <wp:posOffset>7620</wp:posOffset>
            </wp:positionV>
            <wp:extent cx="4048760" cy="2466876"/>
            <wp:effectExtent l="0" t="0" r="0" b="0"/>
            <wp:wrapNone/>
            <wp:docPr id="16" name="Picture 16" descr="The figure presents the development of the economy’s negative external debt, over time. The figure can be found in the Excel file attached to this notice under the “Figure 6” worksheet." title="Figure 6: Negative external de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48760" cy="2466876"/>
                    </a:xfrm>
                    <a:prstGeom prst="rect">
                      <a:avLst/>
                    </a:prstGeom>
                    <a:noFill/>
                  </pic:spPr>
                </pic:pic>
              </a:graphicData>
            </a:graphic>
            <wp14:sizeRelH relativeFrom="page">
              <wp14:pctWidth>0</wp14:pctWidth>
            </wp14:sizeRelH>
            <wp14:sizeRelV relativeFrom="page">
              <wp14:pctHeight>0</wp14:pctHeight>
            </wp14:sizeRelV>
          </wp:anchor>
        </w:drawing>
      </w:r>
    </w:p>
    <w:p w:rsidR="00DD15DC" w:rsidRPr="002C7E33" w:rsidRDefault="00DD15DC" w:rsidP="00DD15DC">
      <w:pPr>
        <w:pStyle w:val="regpar"/>
        <w:ind w:firstLine="0"/>
        <w:jc w:val="left"/>
        <w:outlineLvl w:val="0"/>
      </w:pPr>
    </w:p>
    <w:p w:rsidR="00DD15DC" w:rsidRPr="002C7E33" w:rsidRDefault="00DD15DC" w:rsidP="00DD15DC">
      <w:pPr>
        <w:tabs>
          <w:tab w:val="right" w:pos="720"/>
        </w:tabs>
      </w:pPr>
    </w:p>
    <w:p w:rsidR="00986270" w:rsidRPr="002C7E33" w:rsidRDefault="00986270" w:rsidP="00986270">
      <w:pPr>
        <w:tabs>
          <w:tab w:val="center" w:pos="4156"/>
          <w:tab w:val="right" w:pos="8312"/>
        </w:tabs>
        <w:bidi w:val="0"/>
        <w:jc w:val="center"/>
        <w:rPr>
          <w:rFonts w:cs="David"/>
          <w:sz w:val="22"/>
          <w:szCs w:val="22"/>
        </w:rPr>
      </w:pPr>
    </w:p>
    <w:p w:rsidR="00986270" w:rsidRPr="002C7E33" w:rsidRDefault="00986270" w:rsidP="00986270">
      <w:pPr>
        <w:bidi w:val="0"/>
        <w:rPr>
          <w:b/>
          <w:bCs/>
        </w:rPr>
      </w:pPr>
    </w:p>
    <w:p w:rsidR="00986270" w:rsidRPr="002C7E33" w:rsidRDefault="00986270" w:rsidP="00986270">
      <w:pPr>
        <w:bidi w:val="0"/>
        <w:jc w:val="both"/>
      </w:pPr>
    </w:p>
    <w:p w:rsidR="00986270" w:rsidRPr="002C7E33" w:rsidRDefault="00986270" w:rsidP="00986270">
      <w:pPr>
        <w:tabs>
          <w:tab w:val="center" w:pos="4156"/>
          <w:tab w:val="right" w:pos="8312"/>
        </w:tabs>
        <w:bidi w:val="0"/>
        <w:jc w:val="center"/>
        <w:rPr>
          <w:rFonts w:cs="David"/>
          <w:sz w:val="22"/>
          <w:szCs w:val="22"/>
        </w:rPr>
      </w:pPr>
    </w:p>
    <w:p w:rsidR="000E0CF6" w:rsidRPr="002C7E33" w:rsidRDefault="000E0CF6" w:rsidP="000E0CF6">
      <w:pPr>
        <w:tabs>
          <w:tab w:val="center" w:pos="4156"/>
          <w:tab w:val="right" w:pos="8312"/>
        </w:tabs>
        <w:bidi w:val="0"/>
        <w:jc w:val="center"/>
        <w:rPr>
          <w:rFonts w:cs="David"/>
          <w:sz w:val="22"/>
          <w:szCs w:val="22"/>
        </w:rPr>
      </w:pPr>
    </w:p>
    <w:p w:rsidR="000E0CF6" w:rsidRPr="002C7E33" w:rsidRDefault="000E0CF6" w:rsidP="000E0CF6">
      <w:pPr>
        <w:tabs>
          <w:tab w:val="center" w:pos="4156"/>
          <w:tab w:val="right" w:pos="8312"/>
        </w:tabs>
        <w:bidi w:val="0"/>
        <w:jc w:val="center"/>
        <w:rPr>
          <w:rFonts w:cs="David"/>
          <w:sz w:val="22"/>
          <w:szCs w:val="22"/>
        </w:rPr>
      </w:pPr>
    </w:p>
    <w:p w:rsidR="000E0CF6" w:rsidRPr="002C7E33" w:rsidRDefault="000E0CF6" w:rsidP="000E0CF6">
      <w:pPr>
        <w:tabs>
          <w:tab w:val="center" w:pos="4156"/>
          <w:tab w:val="right" w:pos="8312"/>
        </w:tabs>
        <w:bidi w:val="0"/>
        <w:jc w:val="center"/>
        <w:rPr>
          <w:rFonts w:cs="David"/>
          <w:sz w:val="22"/>
          <w:szCs w:val="22"/>
        </w:rPr>
      </w:pPr>
    </w:p>
    <w:p w:rsidR="000E0CF6" w:rsidRPr="002C7E33" w:rsidRDefault="000E0CF6" w:rsidP="000E0CF6">
      <w:pPr>
        <w:tabs>
          <w:tab w:val="center" w:pos="4156"/>
          <w:tab w:val="right" w:pos="8312"/>
        </w:tabs>
        <w:bidi w:val="0"/>
        <w:jc w:val="center"/>
        <w:rPr>
          <w:rFonts w:cs="David"/>
          <w:sz w:val="22"/>
          <w:szCs w:val="22"/>
        </w:rPr>
      </w:pPr>
    </w:p>
    <w:p w:rsidR="000E0CF6" w:rsidRPr="002C7E33" w:rsidRDefault="000E0CF6" w:rsidP="000E0CF6">
      <w:pPr>
        <w:tabs>
          <w:tab w:val="center" w:pos="4156"/>
          <w:tab w:val="right" w:pos="8312"/>
        </w:tabs>
        <w:bidi w:val="0"/>
        <w:jc w:val="center"/>
        <w:rPr>
          <w:rFonts w:cs="David"/>
          <w:sz w:val="22"/>
          <w:szCs w:val="22"/>
        </w:rPr>
      </w:pPr>
    </w:p>
    <w:p w:rsidR="000E0CF6" w:rsidRPr="002C7E33" w:rsidRDefault="000E0CF6" w:rsidP="000E0CF6">
      <w:pPr>
        <w:tabs>
          <w:tab w:val="center" w:pos="4156"/>
          <w:tab w:val="right" w:pos="8312"/>
        </w:tabs>
        <w:bidi w:val="0"/>
        <w:jc w:val="center"/>
        <w:rPr>
          <w:rFonts w:cs="David"/>
          <w:sz w:val="22"/>
          <w:szCs w:val="22"/>
        </w:rPr>
      </w:pPr>
    </w:p>
    <w:p w:rsidR="000E0CF6" w:rsidRPr="002C7E33" w:rsidRDefault="000E0CF6" w:rsidP="000E0CF6">
      <w:pPr>
        <w:tabs>
          <w:tab w:val="center" w:pos="4156"/>
          <w:tab w:val="right" w:pos="8312"/>
        </w:tabs>
        <w:bidi w:val="0"/>
        <w:jc w:val="center"/>
        <w:rPr>
          <w:rFonts w:cs="David"/>
          <w:sz w:val="22"/>
          <w:szCs w:val="22"/>
        </w:rPr>
      </w:pPr>
    </w:p>
    <w:p w:rsidR="000E0CF6" w:rsidRPr="002C7E33" w:rsidRDefault="000E0CF6" w:rsidP="000E0CF6">
      <w:pPr>
        <w:tabs>
          <w:tab w:val="center" w:pos="4156"/>
          <w:tab w:val="right" w:pos="8312"/>
        </w:tabs>
        <w:bidi w:val="0"/>
        <w:jc w:val="center"/>
        <w:rPr>
          <w:rFonts w:cs="David"/>
          <w:sz w:val="22"/>
          <w:szCs w:val="22"/>
        </w:rPr>
      </w:pPr>
    </w:p>
    <w:p w:rsidR="000E0CF6" w:rsidRPr="002C7E33" w:rsidRDefault="00427D78" w:rsidP="000E0CF6">
      <w:pPr>
        <w:tabs>
          <w:tab w:val="center" w:pos="4156"/>
          <w:tab w:val="right" w:pos="8312"/>
        </w:tabs>
        <w:bidi w:val="0"/>
        <w:jc w:val="center"/>
        <w:rPr>
          <w:rFonts w:cs="David"/>
          <w:sz w:val="22"/>
          <w:szCs w:val="22"/>
        </w:rPr>
      </w:pPr>
      <w:r>
        <w:rPr>
          <w:noProof/>
        </w:rPr>
        <mc:AlternateContent>
          <mc:Choice Requires="wps">
            <w:drawing>
              <wp:anchor distT="0" distB="0" distL="114300" distR="114300" simplePos="0" relativeHeight="251680768" behindDoc="0" locked="0" layoutInCell="1" allowOverlap="1" wp14:anchorId="5EC712D0" wp14:editId="1629B0D3">
                <wp:simplePos x="0" y="0"/>
                <wp:positionH relativeFrom="column">
                  <wp:posOffset>487680</wp:posOffset>
                </wp:positionH>
                <wp:positionV relativeFrom="paragraph">
                  <wp:posOffset>24130</wp:posOffset>
                </wp:positionV>
                <wp:extent cx="4726305" cy="457200"/>
                <wp:effectExtent l="0" t="0" r="0" b="0"/>
                <wp:wrapNone/>
                <wp:docPr id="5" name="תיבת טקסט 5"/>
                <wp:cNvGraphicFramePr/>
                <a:graphic xmlns:a="http://schemas.openxmlformats.org/drawingml/2006/main">
                  <a:graphicData uri="http://schemas.microsoft.com/office/word/2010/wordprocessingShape">
                    <wps:wsp>
                      <wps:cNvSpPr txBox="1"/>
                      <wps:spPr>
                        <a:xfrm>
                          <a:off x="0" y="0"/>
                          <a:ext cx="4726305" cy="457200"/>
                        </a:xfrm>
                        <a:prstGeom prst="rect">
                          <a:avLst/>
                        </a:prstGeom>
                        <a:solidFill>
                          <a:prstClr val="white"/>
                        </a:solidFill>
                        <a:ln>
                          <a:noFill/>
                        </a:ln>
                      </wps:spPr>
                      <wps:txbx>
                        <w:txbxContent>
                          <w:p w:rsidR="006657CF" w:rsidRPr="006657CF" w:rsidRDefault="006657CF" w:rsidP="006657CF">
                            <w:pPr>
                              <w:pStyle w:val="af7"/>
                              <w:bidi w:val="0"/>
                              <w:rPr>
                                <w:rFonts w:ascii="David" w:hAnsi="David" w:cs="David"/>
                                <w:noProof/>
                                <w:color w:val="auto"/>
                                <w:sz w:val="16"/>
                                <w:szCs w:val="16"/>
                              </w:rPr>
                            </w:pPr>
                            <w:r w:rsidRPr="006657CF">
                              <w:rPr>
                                <w:rFonts w:ascii="David" w:hAnsi="David" w:cs="David"/>
                                <w:color w:val="auto"/>
                                <w:sz w:val="16"/>
                                <w:szCs w:val="16"/>
                              </w:rPr>
                              <w:t>S</w:t>
                            </w:r>
                            <w:r w:rsidR="00166ABA">
                              <w:rPr>
                                <w:rFonts w:ascii="David" w:hAnsi="David" w:cs="David"/>
                                <w:color w:val="auto"/>
                                <w:sz w:val="16"/>
                                <w:szCs w:val="16"/>
                              </w:rPr>
                              <w:t xml:space="preserve">ource: </w:t>
                            </w:r>
                            <w:r w:rsidR="00166ABA" w:rsidRPr="006657CF">
                              <w:rPr>
                                <w:rFonts w:ascii="David" w:hAnsi="David" w:cs="David"/>
                                <w:color w:val="auto"/>
                                <w:sz w:val="16"/>
                                <w:szCs w:val="16"/>
                              </w:rPr>
                              <w:t xml:space="preserve"> Ministry of Treasury</w:t>
                            </w:r>
                            <w:r w:rsidR="00166ABA">
                              <w:rPr>
                                <w:rFonts w:ascii="David" w:hAnsi="David" w:cs="David"/>
                                <w:color w:val="auto"/>
                                <w:sz w:val="16"/>
                                <w:szCs w:val="16"/>
                              </w:rPr>
                              <w:t>,</w:t>
                            </w:r>
                            <w:r w:rsidR="00166ABA" w:rsidRPr="006657CF">
                              <w:rPr>
                                <w:rFonts w:ascii="David" w:hAnsi="David" w:cs="David"/>
                                <w:color w:val="auto"/>
                                <w:sz w:val="16"/>
                                <w:szCs w:val="16"/>
                              </w:rPr>
                              <w:t xml:space="preserve"> </w:t>
                            </w:r>
                            <w:r w:rsidRPr="006657CF">
                              <w:rPr>
                                <w:rFonts w:ascii="David" w:hAnsi="David" w:cs="David"/>
                                <w:color w:val="auto"/>
                                <w:sz w:val="16"/>
                                <w:szCs w:val="16"/>
                              </w:rPr>
                              <w:t xml:space="preserve">Bank of Israel </w:t>
                            </w:r>
                            <w:r w:rsidR="00DF76E8">
                              <w:rPr>
                                <w:rFonts w:ascii="David" w:hAnsi="David" w:cs="David"/>
                                <w:color w:val="auto"/>
                                <w:sz w:val="16"/>
                                <w:szCs w:val="16"/>
                              </w:rPr>
                              <w:t xml:space="preserve">data and </w:t>
                            </w:r>
                            <w:r w:rsidRPr="006657CF">
                              <w:rPr>
                                <w:rFonts w:ascii="David" w:hAnsi="David" w:cs="David"/>
                                <w:color w:val="auto"/>
                                <w:sz w:val="16"/>
                                <w:szCs w:val="16"/>
                              </w:rPr>
                              <w:t>compilations</w:t>
                            </w:r>
                            <w:r w:rsidR="00DF76E8">
                              <w:rPr>
                                <w:rFonts w:ascii="David" w:hAnsi="David" w:cs="David"/>
                                <w:color w:val="auto"/>
                                <w:sz w:val="16"/>
                                <w:szCs w:val="16"/>
                              </w:rPr>
                              <w:t xml:space="preserve"> </w:t>
                            </w:r>
                            <w:r w:rsidR="00DF76E8" w:rsidRPr="00DF76E8">
                              <w:rPr>
                                <w:rFonts w:ascii="David" w:hAnsi="David" w:cs="David"/>
                                <w:color w:val="auto"/>
                                <w:sz w:val="16"/>
                                <w:szCs w:val="16"/>
                                <w:vertAlign w:val="superscript"/>
                              </w:rPr>
                              <w:t>i</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C712D0" id="תיבת טקסט 5" o:spid="_x0000_s1029" type="#_x0000_t202" style="position:absolute;left:0;text-align:left;margin-left:38.4pt;margin-top:1.9pt;width:372.15pt;height:36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" stroked="f">
                <v:textbox inset="0,0,0,0">
                  <w:txbxContent>
                    <w:p w:rsidR="006657CF" w:rsidRPr="006657CF" w:rsidRDefault="006657CF" w:rsidP="006657CF">
                      <w:pPr>
                        <w:pStyle w:val="af7"/>
                        <w:bidi w:val="0"/>
                        <w:rPr>
                          <w:rFonts w:ascii="David" w:hAnsi="David" w:cs="David"/>
                          <w:noProof/>
                          <w:color w:val="auto"/>
                          <w:sz w:val="16"/>
                          <w:szCs w:val="16"/>
                        </w:rPr>
                      </w:pPr>
                      <w:r w:rsidRPr="006657CF">
                        <w:rPr>
                          <w:rFonts w:ascii="David" w:hAnsi="David" w:cs="David"/>
                          <w:color w:val="auto"/>
                          <w:sz w:val="16"/>
                          <w:szCs w:val="16"/>
                        </w:rPr>
                        <w:t>S</w:t>
                      </w:r>
                      <w:r w:rsidR="00166ABA">
                        <w:rPr>
                          <w:rFonts w:ascii="David" w:hAnsi="David" w:cs="David"/>
                          <w:color w:val="auto"/>
                          <w:sz w:val="16"/>
                          <w:szCs w:val="16"/>
                        </w:rPr>
                        <w:t xml:space="preserve">ource: </w:t>
                      </w:r>
                      <w:r w:rsidR="00166ABA" w:rsidRPr="006657CF">
                        <w:rPr>
                          <w:rFonts w:ascii="David" w:hAnsi="David" w:cs="David"/>
                          <w:color w:val="auto"/>
                          <w:sz w:val="16"/>
                          <w:szCs w:val="16"/>
                        </w:rPr>
                        <w:t xml:space="preserve"> Ministry of Treasury</w:t>
                      </w:r>
                      <w:r w:rsidR="00166ABA">
                        <w:rPr>
                          <w:rFonts w:ascii="David" w:hAnsi="David" w:cs="David"/>
                          <w:color w:val="auto"/>
                          <w:sz w:val="16"/>
                          <w:szCs w:val="16"/>
                        </w:rPr>
                        <w:t>,</w:t>
                      </w:r>
                      <w:r w:rsidR="00166ABA" w:rsidRPr="006657CF">
                        <w:rPr>
                          <w:rFonts w:ascii="David" w:hAnsi="David" w:cs="David"/>
                          <w:color w:val="auto"/>
                          <w:sz w:val="16"/>
                          <w:szCs w:val="16"/>
                        </w:rPr>
                        <w:t xml:space="preserve"> </w:t>
                      </w:r>
                      <w:r w:rsidRPr="006657CF">
                        <w:rPr>
                          <w:rFonts w:ascii="David" w:hAnsi="David" w:cs="David"/>
                          <w:color w:val="auto"/>
                          <w:sz w:val="16"/>
                          <w:szCs w:val="16"/>
                        </w:rPr>
                        <w:t xml:space="preserve">Bank of Israel </w:t>
                      </w:r>
                      <w:r w:rsidR="00DF76E8">
                        <w:rPr>
                          <w:rFonts w:ascii="David" w:hAnsi="David" w:cs="David"/>
                          <w:color w:val="auto"/>
                          <w:sz w:val="16"/>
                          <w:szCs w:val="16"/>
                        </w:rPr>
                        <w:t xml:space="preserve">data and </w:t>
                      </w:r>
                      <w:r w:rsidRPr="006657CF">
                        <w:rPr>
                          <w:rFonts w:ascii="David" w:hAnsi="David" w:cs="David"/>
                          <w:color w:val="auto"/>
                          <w:sz w:val="16"/>
                          <w:szCs w:val="16"/>
                        </w:rPr>
                        <w:t>compilations</w:t>
                      </w:r>
                      <w:r w:rsidR="00DF76E8">
                        <w:rPr>
                          <w:rFonts w:ascii="David" w:hAnsi="David" w:cs="David"/>
                          <w:color w:val="auto"/>
                          <w:sz w:val="16"/>
                          <w:szCs w:val="16"/>
                        </w:rPr>
                        <w:t xml:space="preserve"> </w:t>
                      </w:r>
                      <w:r w:rsidR="00DF76E8" w:rsidRPr="00DF76E8">
                        <w:rPr>
                          <w:rFonts w:ascii="David" w:hAnsi="David" w:cs="David"/>
                          <w:color w:val="auto"/>
                          <w:sz w:val="16"/>
                          <w:szCs w:val="16"/>
                          <w:vertAlign w:val="superscript"/>
                        </w:rPr>
                        <w:t>i</w:t>
                      </w:r>
                    </w:p>
                  </w:txbxContent>
                </v:textbox>
              </v:shape>
            </w:pict>
          </mc:Fallback>
        </mc:AlternateContent>
      </w:r>
    </w:p>
    <w:p w:rsidR="000E0CF6" w:rsidRPr="002C7E33" w:rsidRDefault="000E0CF6" w:rsidP="000E0CF6">
      <w:pPr>
        <w:tabs>
          <w:tab w:val="center" w:pos="4156"/>
          <w:tab w:val="right" w:pos="8312"/>
        </w:tabs>
        <w:bidi w:val="0"/>
        <w:jc w:val="center"/>
        <w:rPr>
          <w:rFonts w:cs="David"/>
          <w:sz w:val="22"/>
          <w:szCs w:val="22"/>
        </w:rPr>
      </w:pPr>
    </w:p>
    <w:p w:rsidR="000E0CF6" w:rsidRPr="00DF76E8" w:rsidRDefault="006800E4" w:rsidP="00DF76E8">
      <w:pPr>
        <w:pStyle w:val="regpar"/>
        <w:spacing w:before="240"/>
        <w:ind w:firstLine="0"/>
        <w:jc w:val="left"/>
        <w:outlineLvl w:val="0"/>
      </w:pPr>
      <w:hyperlink r:id="rId16" w:history="1">
        <w:r w:rsidR="000E0CF6" w:rsidRPr="002C7E33">
          <w:rPr>
            <w:rStyle w:val="Hyperlink"/>
          </w:rPr>
          <w:t>For the complete data file, click here</w:t>
        </w:r>
      </w:hyperlink>
      <w:r w:rsidR="000E0CF6" w:rsidRPr="002C7E33">
        <w:t>.</w:t>
      </w:r>
    </w:p>
    <w:sectPr w:rsidR="000E0CF6" w:rsidRPr="00DF76E8" w:rsidSect="00F36E24">
      <w:footerReference w:type="default" r:id="rId17"/>
      <w:headerReference w:type="first" r:id="rId18"/>
      <w:pgSz w:w="11906" w:h="16838"/>
      <w:pgMar w:top="510" w:right="1797" w:bottom="624" w:left="1797" w:header="397" w:footer="283"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0E4" w:rsidRDefault="006800E4" w:rsidP="00E64B36">
      <w:r>
        <w:separator/>
      </w:r>
    </w:p>
  </w:endnote>
  <w:endnote w:type="continuationSeparator" w:id="0">
    <w:p w:rsidR="006800E4" w:rsidRDefault="006800E4" w:rsidP="00E64B36">
      <w:r>
        <w:continuationSeparator/>
      </w:r>
    </w:p>
  </w:endnote>
  <w:endnote w:id="1">
    <w:p w:rsidR="00427D78" w:rsidRDefault="00427D78" w:rsidP="00427D78">
      <w:pPr>
        <w:pStyle w:val="af8"/>
        <w:bidi w:val="0"/>
        <w:rPr>
          <w:sz w:val="16"/>
          <w:szCs w:val="16"/>
        </w:rPr>
      </w:pPr>
      <w:r>
        <w:rPr>
          <w:rStyle w:val="afa"/>
        </w:rPr>
        <w:endnoteRef/>
      </w:r>
      <w:r>
        <w:rPr>
          <w:rtl/>
        </w:rPr>
        <w:t xml:space="preserve"> </w:t>
      </w:r>
      <w:r w:rsidR="00F502B8" w:rsidRPr="006657CF">
        <w:rPr>
          <w:rFonts w:ascii="David" w:hAnsi="David" w:cs="David"/>
          <w:sz w:val="16"/>
          <w:szCs w:val="16"/>
        </w:rPr>
        <w:t xml:space="preserve">Bank of Israel </w:t>
      </w:r>
      <w:r w:rsidR="00F502B8">
        <w:rPr>
          <w:rFonts w:ascii="David" w:hAnsi="David" w:cs="David"/>
          <w:sz w:val="16"/>
          <w:szCs w:val="16"/>
        </w:rPr>
        <w:t xml:space="preserve">data and </w:t>
      </w:r>
      <w:r w:rsidR="00F502B8" w:rsidRPr="006657CF">
        <w:rPr>
          <w:rFonts w:ascii="David" w:hAnsi="David" w:cs="David"/>
          <w:sz w:val="16"/>
          <w:szCs w:val="16"/>
        </w:rPr>
        <w:t>compilations</w:t>
      </w:r>
      <w:r w:rsidR="00F502B8">
        <w:rPr>
          <w:rFonts w:ascii="David" w:hAnsi="David" w:cs="David" w:hint="cs"/>
          <w:sz w:val="16"/>
          <w:szCs w:val="16"/>
          <w:rtl/>
        </w:rPr>
        <w:t>:</w:t>
      </w:r>
      <w:r w:rsidRPr="00427D78">
        <w:rPr>
          <w:sz w:val="16"/>
          <w:szCs w:val="16"/>
        </w:rPr>
        <w:t>The Bank of Israel Information and Statistics Department manages a database of economic activity vis-</w:t>
      </w:r>
      <w:r w:rsidRPr="00427D78">
        <w:rPr>
          <w:rFonts w:hint="eastAsia"/>
          <w:sz w:val="16"/>
          <w:szCs w:val="16"/>
        </w:rPr>
        <w:t>à</w:t>
      </w:r>
      <w:r w:rsidRPr="00427D78">
        <w:rPr>
          <w:sz w:val="16"/>
          <w:szCs w:val="16"/>
        </w:rPr>
        <w:t xml:space="preserve">-vis abroad. The Department gathers data and information from various sources. Most of the data are received r by companies and individuals to the Bank of Israel pursuant to the </w:t>
      </w:r>
      <w:bookmarkStart w:id="0" w:name="_GoBack"/>
      <w:bookmarkEnd w:id="0"/>
      <w:r w:rsidRPr="00427D78">
        <w:rPr>
          <w:sz w:val="16"/>
          <w:szCs w:val="16"/>
        </w:rPr>
        <w:t>Bank of Israel Orde from direct reports</w:t>
      </w:r>
      <w:r>
        <w:rPr>
          <w:rFonts w:hint="cs"/>
          <w:sz w:val="16"/>
          <w:szCs w:val="16"/>
          <w:rtl/>
        </w:rPr>
        <w:t xml:space="preserve"> </w:t>
      </w:r>
      <w:r w:rsidRPr="00427D78">
        <w:rPr>
          <w:sz w:val="16"/>
          <w:szCs w:val="16"/>
        </w:rPr>
        <w:t xml:space="preserve">(see </w:t>
      </w:r>
      <w:r w:rsidRPr="00427D78">
        <w:rPr>
          <w:rFonts w:hint="cs"/>
          <w:sz w:val="16"/>
          <w:szCs w:val="16"/>
        </w:rPr>
        <w:t>“</w:t>
      </w:r>
      <w:r w:rsidRPr="00427D78">
        <w:rPr>
          <w:sz w:val="16"/>
          <w:szCs w:val="16"/>
        </w:rPr>
        <w:t>Information on the Development of the Foreign Exchange Market in Israel, 5770</w:t>
      </w:r>
      <w:r w:rsidRPr="00427D78">
        <w:rPr>
          <w:rFonts w:hint="cs"/>
          <w:sz w:val="16"/>
          <w:szCs w:val="16"/>
        </w:rPr>
        <w:t>–</w:t>
      </w:r>
      <w:r w:rsidRPr="00427D78">
        <w:rPr>
          <w:sz w:val="16"/>
          <w:szCs w:val="16"/>
        </w:rPr>
        <w:t>2010).</w:t>
      </w:r>
      <w:r>
        <w:rPr>
          <w:rFonts w:hint="cs"/>
          <w:sz w:val="16"/>
          <w:szCs w:val="16"/>
          <w:rtl/>
        </w:rPr>
        <w:t xml:space="preserve"> </w:t>
      </w:r>
      <w:r w:rsidRPr="00427D78">
        <w:rPr>
          <w:sz w:val="16"/>
          <w:szCs w:val="16"/>
        </w:rPr>
        <w:t>Additional data used to measure economic activity vis-</w:t>
      </w:r>
      <w:r w:rsidRPr="00427D78">
        <w:rPr>
          <w:rFonts w:hint="eastAsia"/>
          <w:sz w:val="16"/>
          <w:szCs w:val="16"/>
        </w:rPr>
        <w:t>à</w:t>
      </w:r>
      <w:r w:rsidRPr="00427D78">
        <w:rPr>
          <w:sz w:val="16"/>
          <w:szCs w:val="16"/>
        </w:rPr>
        <w:t>-vis abroad are obtained from reports by the institutional investors, the Bank of Israel Accounting Division, the Israel Securities Authority, the Ministry of Finance,</w:t>
      </w:r>
      <w:r>
        <w:rPr>
          <w:rFonts w:hint="cs"/>
          <w:sz w:val="16"/>
          <w:szCs w:val="16"/>
          <w:rtl/>
        </w:rPr>
        <w:t xml:space="preserve"> </w:t>
      </w:r>
      <w:r>
        <w:rPr>
          <w:sz w:val="16"/>
          <w:szCs w:val="16"/>
        </w:rPr>
        <w:t xml:space="preserve">Israel’s Central Bureau of Statistics </w:t>
      </w:r>
      <w:r w:rsidRPr="00427D78">
        <w:rPr>
          <w:sz w:val="16"/>
          <w:szCs w:val="16"/>
        </w:rPr>
        <w:t>and domestic banks. The Information and Statistics Department processes the data obtained from the various sources.</w:t>
      </w:r>
    </w:p>
    <w:p w:rsidR="00427D78" w:rsidRPr="00427D78" w:rsidRDefault="00427D78" w:rsidP="00427D78">
      <w:pPr>
        <w:pStyle w:val="af8"/>
        <w:bidi w:val="0"/>
        <w:rPr>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022" w:rsidRPr="00986270" w:rsidRDefault="00986270" w:rsidP="0004083B">
    <w:pPr>
      <w:bidi w:val="0"/>
      <w:ind w:right="-52"/>
      <w:rPr>
        <w:b/>
        <w:bCs/>
        <w:sz w:val="26"/>
        <w:szCs w:val="26"/>
        <w:u w:val="single"/>
        <w:rtl/>
        <w:cs/>
      </w:rPr>
    </w:pPr>
    <w:r w:rsidRPr="00986270">
      <w:rPr>
        <w:sz w:val="18"/>
        <w:szCs w:val="18"/>
      </w:rPr>
      <w:t>Bank of Israel</w:t>
    </w:r>
    <w:r w:rsidR="00FB0E69">
      <w:rPr>
        <w:sz w:val="18"/>
        <w:szCs w:val="18"/>
      </w:rPr>
      <w:t xml:space="preserve"> — Israel’s International Investment Position, </w:t>
    </w:r>
    <w:r w:rsidR="00510B33">
      <w:rPr>
        <w:sz w:val="18"/>
        <w:szCs w:val="18"/>
      </w:rPr>
      <w:t>First quarter</w:t>
    </w:r>
    <w:r w:rsidR="0004083B">
      <w:rPr>
        <w:sz w:val="18"/>
        <w:szCs w:val="18"/>
      </w:rPr>
      <w:t xml:space="preserve"> of 2020</w:t>
    </w:r>
    <w:r w:rsidR="0004083B">
      <w:rPr>
        <w:sz w:val="18"/>
        <w:szCs w:val="18"/>
      </w:rPr>
      <w:tab/>
    </w:r>
    <w:r w:rsidR="00596FB4" w:rsidRPr="00CD0A35">
      <w:rPr>
        <w:sz w:val="18"/>
        <w:szCs w:val="18"/>
      </w:rPr>
      <w:tab/>
    </w:r>
    <w:r w:rsidR="00B96022" w:rsidRPr="00CD0A35">
      <w:rPr>
        <w:sz w:val="18"/>
        <w:szCs w:val="18"/>
      </w:rPr>
      <w:t>Page</w:t>
    </w:r>
    <w:r w:rsidR="00B96022" w:rsidRPr="00CD0A35">
      <w:rPr>
        <w:sz w:val="18"/>
        <w:szCs w:val="18"/>
        <w:rtl/>
        <w:cs/>
        <w:lang w:val="he-IL"/>
      </w:rPr>
      <w:t xml:space="preserve"> </w:t>
    </w:r>
    <w:r w:rsidR="00537B7C" w:rsidRPr="00CD0A35">
      <w:rPr>
        <w:b/>
        <w:bCs/>
        <w:sz w:val="18"/>
        <w:szCs w:val="18"/>
      </w:rPr>
      <w:fldChar w:fldCharType="begin"/>
    </w:r>
    <w:r w:rsidR="00B96022" w:rsidRPr="00CD0A35">
      <w:rPr>
        <w:b/>
        <w:bCs/>
        <w:sz w:val="18"/>
        <w:szCs w:val="18"/>
        <w:rtl/>
        <w:cs/>
      </w:rPr>
      <w:instrText>PAGE</w:instrText>
    </w:r>
    <w:r w:rsidR="00537B7C" w:rsidRPr="00CD0A35">
      <w:rPr>
        <w:b/>
        <w:bCs/>
        <w:sz w:val="18"/>
        <w:szCs w:val="18"/>
      </w:rPr>
      <w:fldChar w:fldCharType="separate"/>
    </w:r>
    <w:r w:rsidR="00166ABA">
      <w:rPr>
        <w:b/>
        <w:bCs/>
        <w:noProof/>
        <w:sz w:val="18"/>
        <w:szCs w:val="18"/>
      </w:rPr>
      <w:t>5</w:t>
    </w:r>
    <w:r w:rsidR="00537B7C" w:rsidRPr="00CD0A35">
      <w:rPr>
        <w:b/>
        <w:bCs/>
        <w:sz w:val="18"/>
        <w:szCs w:val="18"/>
      </w:rPr>
      <w:fldChar w:fldCharType="end"/>
    </w:r>
    <w:r w:rsidR="00B96022" w:rsidRPr="00CD0A35">
      <w:rPr>
        <w:sz w:val="18"/>
        <w:szCs w:val="18"/>
      </w:rPr>
      <w:t xml:space="preserve"> Of</w:t>
    </w:r>
    <w:r w:rsidR="00B96022" w:rsidRPr="00CD0A35">
      <w:rPr>
        <w:sz w:val="18"/>
        <w:szCs w:val="18"/>
        <w:rtl/>
        <w:cs/>
        <w:lang w:val="he-IL"/>
      </w:rPr>
      <w:t xml:space="preserve"> </w:t>
    </w:r>
    <w:r w:rsidR="00537B7C" w:rsidRPr="00CD0A35">
      <w:rPr>
        <w:b/>
        <w:bCs/>
        <w:sz w:val="18"/>
        <w:szCs w:val="18"/>
      </w:rPr>
      <w:fldChar w:fldCharType="begin"/>
    </w:r>
    <w:r w:rsidR="00B96022" w:rsidRPr="00CD0A35">
      <w:rPr>
        <w:b/>
        <w:bCs/>
        <w:sz w:val="18"/>
        <w:szCs w:val="18"/>
        <w:rtl/>
        <w:cs/>
      </w:rPr>
      <w:instrText>NUMPAGES</w:instrText>
    </w:r>
    <w:r w:rsidR="00537B7C" w:rsidRPr="00CD0A35">
      <w:rPr>
        <w:b/>
        <w:bCs/>
        <w:sz w:val="18"/>
        <w:szCs w:val="18"/>
      </w:rPr>
      <w:fldChar w:fldCharType="separate"/>
    </w:r>
    <w:r w:rsidR="00166ABA">
      <w:rPr>
        <w:b/>
        <w:bCs/>
        <w:noProof/>
        <w:sz w:val="18"/>
        <w:szCs w:val="18"/>
      </w:rPr>
      <w:t>5</w:t>
    </w:r>
    <w:r w:rsidR="00537B7C" w:rsidRPr="00CD0A35">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0E4" w:rsidRDefault="006800E4" w:rsidP="00E64B36">
      <w:r>
        <w:separator/>
      </w:r>
    </w:p>
  </w:footnote>
  <w:footnote w:type="continuationSeparator" w:id="0">
    <w:p w:rsidR="006800E4" w:rsidRDefault="006800E4" w:rsidP="00E64B36">
      <w:r>
        <w:continuationSeparator/>
      </w:r>
    </w:p>
  </w:footnote>
  <w:footnote w:id="1">
    <w:p w:rsidR="00DF648D" w:rsidRDefault="00DF648D" w:rsidP="00DF648D">
      <w:pPr>
        <w:pStyle w:val="ab"/>
      </w:pPr>
      <w:r>
        <w:rPr>
          <w:rStyle w:val="ad"/>
        </w:rPr>
        <w:footnoteRef/>
      </w:r>
      <w:r>
        <w:t xml:space="preserve"> </w:t>
      </w:r>
      <w:hyperlink r:id="rId1" w:history="1">
        <w:r w:rsidR="001408C7">
          <w:rPr>
            <w:rStyle w:val="Hyperlink"/>
          </w:rPr>
          <w:t>https://www.boi.org.il/en/NewsAndPublications/PressReleases/Pages/25-3-21.aspx</w:t>
        </w:r>
      </w:hyperlink>
    </w:p>
    <w:p w:rsidR="00DF648D" w:rsidRDefault="00DF648D" w:rsidP="00DF648D">
      <w:pPr>
        <w:pStyle w:val="ab"/>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E24" w:rsidRPr="00F36E24" w:rsidRDefault="00F36E2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65F6"/>
    <w:multiLevelType w:val="hybridMultilevel"/>
    <w:tmpl w:val="832227F2"/>
    <w:lvl w:ilvl="0" w:tplc="B772269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B60E24"/>
    <w:multiLevelType w:val="hybridMultilevel"/>
    <w:tmpl w:val="F1968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8C4167"/>
    <w:multiLevelType w:val="hybridMultilevel"/>
    <w:tmpl w:val="B75A6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832BBE"/>
    <w:multiLevelType w:val="hybridMultilevel"/>
    <w:tmpl w:val="81D09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6AD754C"/>
    <w:multiLevelType w:val="hybridMultilevel"/>
    <w:tmpl w:val="60144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B91BFC"/>
    <w:multiLevelType w:val="hybridMultilevel"/>
    <w:tmpl w:val="1DB63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3E5AB5"/>
    <w:multiLevelType w:val="hybridMultilevel"/>
    <w:tmpl w:val="8ADC9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7771EC"/>
    <w:multiLevelType w:val="hybridMultilevel"/>
    <w:tmpl w:val="8720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E95DB1"/>
    <w:multiLevelType w:val="hybridMultilevel"/>
    <w:tmpl w:val="1AB6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0"/>
  </w:num>
  <w:num w:numId="5">
    <w:abstractNumId w:val="1"/>
  </w:num>
  <w:num w:numId="6">
    <w:abstractNumId w:val="6"/>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a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D0"/>
    <w:rsid w:val="00000A06"/>
    <w:rsid w:val="000024C3"/>
    <w:rsid w:val="00003030"/>
    <w:rsid w:val="0001385E"/>
    <w:rsid w:val="0001413F"/>
    <w:rsid w:val="0002004D"/>
    <w:rsid w:val="00020913"/>
    <w:rsid w:val="0002107D"/>
    <w:rsid w:val="00021454"/>
    <w:rsid w:val="00022DA8"/>
    <w:rsid w:val="00033569"/>
    <w:rsid w:val="00034591"/>
    <w:rsid w:val="0004083B"/>
    <w:rsid w:val="000442F9"/>
    <w:rsid w:val="00044332"/>
    <w:rsid w:val="00044C53"/>
    <w:rsid w:val="00050B80"/>
    <w:rsid w:val="00051247"/>
    <w:rsid w:val="00051756"/>
    <w:rsid w:val="000526A0"/>
    <w:rsid w:val="0005434B"/>
    <w:rsid w:val="000546F8"/>
    <w:rsid w:val="0005496E"/>
    <w:rsid w:val="00054A1E"/>
    <w:rsid w:val="00055746"/>
    <w:rsid w:val="0005726E"/>
    <w:rsid w:val="0006167B"/>
    <w:rsid w:val="000669F8"/>
    <w:rsid w:val="0006724E"/>
    <w:rsid w:val="000738C9"/>
    <w:rsid w:val="00073F06"/>
    <w:rsid w:val="00074C35"/>
    <w:rsid w:val="00077D5A"/>
    <w:rsid w:val="0008354E"/>
    <w:rsid w:val="00083750"/>
    <w:rsid w:val="0008700B"/>
    <w:rsid w:val="00096AA7"/>
    <w:rsid w:val="000A506C"/>
    <w:rsid w:val="000A520E"/>
    <w:rsid w:val="000A6AFC"/>
    <w:rsid w:val="000B1395"/>
    <w:rsid w:val="000B1CF7"/>
    <w:rsid w:val="000B7678"/>
    <w:rsid w:val="000B7C8E"/>
    <w:rsid w:val="000C46EA"/>
    <w:rsid w:val="000C5FBA"/>
    <w:rsid w:val="000C6D17"/>
    <w:rsid w:val="000C6FE2"/>
    <w:rsid w:val="000C710C"/>
    <w:rsid w:val="000C7858"/>
    <w:rsid w:val="000D3B93"/>
    <w:rsid w:val="000E048A"/>
    <w:rsid w:val="000E0CF6"/>
    <w:rsid w:val="000E3AAE"/>
    <w:rsid w:val="000F04B9"/>
    <w:rsid w:val="000F37B6"/>
    <w:rsid w:val="000F48F6"/>
    <w:rsid w:val="000F4BF2"/>
    <w:rsid w:val="000F5931"/>
    <w:rsid w:val="000F6914"/>
    <w:rsid w:val="001001A2"/>
    <w:rsid w:val="0010159F"/>
    <w:rsid w:val="00101B55"/>
    <w:rsid w:val="0011574D"/>
    <w:rsid w:val="0011709E"/>
    <w:rsid w:val="0012349D"/>
    <w:rsid w:val="001301D0"/>
    <w:rsid w:val="00130245"/>
    <w:rsid w:val="00130E82"/>
    <w:rsid w:val="00137AAC"/>
    <w:rsid w:val="00137E2F"/>
    <w:rsid w:val="001408C7"/>
    <w:rsid w:val="0014106D"/>
    <w:rsid w:val="00141631"/>
    <w:rsid w:val="00141A4D"/>
    <w:rsid w:val="00141A58"/>
    <w:rsid w:val="001428C4"/>
    <w:rsid w:val="00143F3A"/>
    <w:rsid w:val="00145E7A"/>
    <w:rsid w:val="001565E3"/>
    <w:rsid w:val="00160B25"/>
    <w:rsid w:val="001669B0"/>
    <w:rsid w:val="00166ABA"/>
    <w:rsid w:val="00166FB6"/>
    <w:rsid w:val="00171330"/>
    <w:rsid w:val="00173F17"/>
    <w:rsid w:val="00173FE4"/>
    <w:rsid w:val="001743E0"/>
    <w:rsid w:val="00176D2E"/>
    <w:rsid w:val="001815E1"/>
    <w:rsid w:val="00182CF0"/>
    <w:rsid w:val="00186F87"/>
    <w:rsid w:val="001912CD"/>
    <w:rsid w:val="001A6BB8"/>
    <w:rsid w:val="001B385B"/>
    <w:rsid w:val="001B4E73"/>
    <w:rsid w:val="001B5B5C"/>
    <w:rsid w:val="001B63A6"/>
    <w:rsid w:val="001B64BF"/>
    <w:rsid w:val="001C0D92"/>
    <w:rsid w:val="001C1BC1"/>
    <w:rsid w:val="001C233F"/>
    <w:rsid w:val="001C388F"/>
    <w:rsid w:val="001C40E9"/>
    <w:rsid w:val="001C46E5"/>
    <w:rsid w:val="001C5981"/>
    <w:rsid w:val="001C71E8"/>
    <w:rsid w:val="001C7E52"/>
    <w:rsid w:val="001D381C"/>
    <w:rsid w:val="001D407E"/>
    <w:rsid w:val="001D4DF0"/>
    <w:rsid w:val="001D53BC"/>
    <w:rsid w:val="001E52D4"/>
    <w:rsid w:val="001F238F"/>
    <w:rsid w:val="001F3AA9"/>
    <w:rsid w:val="001F57DE"/>
    <w:rsid w:val="00200442"/>
    <w:rsid w:val="00200E59"/>
    <w:rsid w:val="0020127F"/>
    <w:rsid w:val="0020155F"/>
    <w:rsid w:val="00202E77"/>
    <w:rsid w:val="00205150"/>
    <w:rsid w:val="00206233"/>
    <w:rsid w:val="002117DC"/>
    <w:rsid w:val="0021327F"/>
    <w:rsid w:val="00217BA7"/>
    <w:rsid w:val="00224462"/>
    <w:rsid w:val="002330CC"/>
    <w:rsid w:val="00237CE5"/>
    <w:rsid w:val="0024277F"/>
    <w:rsid w:val="00243AAE"/>
    <w:rsid w:val="00247387"/>
    <w:rsid w:val="00252BB0"/>
    <w:rsid w:val="00252C62"/>
    <w:rsid w:val="00253CAA"/>
    <w:rsid w:val="002563E0"/>
    <w:rsid w:val="0026295C"/>
    <w:rsid w:val="0026680D"/>
    <w:rsid w:val="00266CE7"/>
    <w:rsid w:val="0027156F"/>
    <w:rsid w:val="0027195F"/>
    <w:rsid w:val="002749E1"/>
    <w:rsid w:val="0027777F"/>
    <w:rsid w:val="00280DD3"/>
    <w:rsid w:val="0028175F"/>
    <w:rsid w:val="00281C70"/>
    <w:rsid w:val="00281D82"/>
    <w:rsid w:val="00283FB7"/>
    <w:rsid w:val="00284C45"/>
    <w:rsid w:val="00287449"/>
    <w:rsid w:val="0029219A"/>
    <w:rsid w:val="00292927"/>
    <w:rsid w:val="00297100"/>
    <w:rsid w:val="00297C28"/>
    <w:rsid w:val="002A0D2A"/>
    <w:rsid w:val="002A1B95"/>
    <w:rsid w:val="002A46AF"/>
    <w:rsid w:val="002A4BDF"/>
    <w:rsid w:val="002A7522"/>
    <w:rsid w:val="002B48CC"/>
    <w:rsid w:val="002C3A10"/>
    <w:rsid w:val="002C518C"/>
    <w:rsid w:val="002C67A2"/>
    <w:rsid w:val="002C7E33"/>
    <w:rsid w:val="002D0240"/>
    <w:rsid w:val="002D1DB5"/>
    <w:rsid w:val="002D4092"/>
    <w:rsid w:val="002D66E7"/>
    <w:rsid w:val="002E2872"/>
    <w:rsid w:val="002E3D4B"/>
    <w:rsid w:val="002F019E"/>
    <w:rsid w:val="002F131A"/>
    <w:rsid w:val="002F29B8"/>
    <w:rsid w:val="002F2DC3"/>
    <w:rsid w:val="002F7EEF"/>
    <w:rsid w:val="00301A74"/>
    <w:rsid w:val="003020E4"/>
    <w:rsid w:val="003022C3"/>
    <w:rsid w:val="0030279B"/>
    <w:rsid w:val="003129D6"/>
    <w:rsid w:val="00312D2B"/>
    <w:rsid w:val="003133A4"/>
    <w:rsid w:val="003136EE"/>
    <w:rsid w:val="003138CF"/>
    <w:rsid w:val="00313F53"/>
    <w:rsid w:val="0032308E"/>
    <w:rsid w:val="003231EA"/>
    <w:rsid w:val="00323D74"/>
    <w:rsid w:val="00326B50"/>
    <w:rsid w:val="00330A83"/>
    <w:rsid w:val="00335A9E"/>
    <w:rsid w:val="00335E45"/>
    <w:rsid w:val="00341343"/>
    <w:rsid w:val="0034243B"/>
    <w:rsid w:val="003435B0"/>
    <w:rsid w:val="00344E60"/>
    <w:rsid w:val="00360B5C"/>
    <w:rsid w:val="00362E59"/>
    <w:rsid w:val="00364C08"/>
    <w:rsid w:val="003669C9"/>
    <w:rsid w:val="00367227"/>
    <w:rsid w:val="0037177F"/>
    <w:rsid w:val="003727EE"/>
    <w:rsid w:val="003770FA"/>
    <w:rsid w:val="003772AF"/>
    <w:rsid w:val="00385CB3"/>
    <w:rsid w:val="00387840"/>
    <w:rsid w:val="0039059D"/>
    <w:rsid w:val="00390CA5"/>
    <w:rsid w:val="003947F4"/>
    <w:rsid w:val="003A005A"/>
    <w:rsid w:val="003A2BAF"/>
    <w:rsid w:val="003A335C"/>
    <w:rsid w:val="003A3813"/>
    <w:rsid w:val="003A4BE7"/>
    <w:rsid w:val="003A58FC"/>
    <w:rsid w:val="003B1481"/>
    <w:rsid w:val="003B715F"/>
    <w:rsid w:val="003B7DC3"/>
    <w:rsid w:val="003C338A"/>
    <w:rsid w:val="003C5ED4"/>
    <w:rsid w:val="003C6073"/>
    <w:rsid w:val="003C6203"/>
    <w:rsid w:val="003C7815"/>
    <w:rsid w:val="003D5EBD"/>
    <w:rsid w:val="003D6F31"/>
    <w:rsid w:val="003D7860"/>
    <w:rsid w:val="003E3F4C"/>
    <w:rsid w:val="003E40E1"/>
    <w:rsid w:val="003E5179"/>
    <w:rsid w:val="003E726C"/>
    <w:rsid w:val="003F41A8"/>
    <w:rsid w:val="003F45CD"/>
    <w:rsid w:val="003F7DBF"/>
    <w:rsid w:val="00403D99"/>
    <w:rsid w:val="00404DAF"/>
    <w:rsid w:val="004052CA"/>
    <w:rsid w:val="00405EEE"/>
    <w:rsid w:val="00411BA4"/>
    <w:rsid w:val="00412846"/>
    <w:rsid w:val="00413006"/>
    <w:rsid w:val="004147FC"/>
    <w:rsid w:val="004213D4"/>
    <w:rsid w:val="00422546"/>
    <w:rsid w:val="004228B0"/>
    <w:rsid w:val="00424984"/>
    <w:rsid w:val="0042520D"/>
    <w:rsid w:val="00425339"/>
    <w:rsid w:val="00426EA0"/>
    <w:rsid w:val="004274AD"/>
    <w:rsid w:val="00427D78"/>
    <w:rsid w:val="004302F4"/>
    <w:rsid w:val="00430365"/>
    <w:rsid w:val="004342D0"/>
    <w:rsid w:val="004359B7"/>
    <w:rsid w:val="0043764C"/>
    <w:rsid w:val="00440F82"/>
    <w:rsid w:val="00445B15"/>
    <w:rsid w:val="00447E5A"/>
    <w:rsid w:val="00450BEC"/>
    <w:rsid w:val="00452111"/>
    <w:rsid w:val="0046455D"/>
    <w:rsid w:val="0046604F"/>
    <w:rsid w:val="00471D8F"/>
    <w:rsid w:val="00473516"/>
    <w:rsid w:val="00474107"/>
    <w:rsid w:val="00477DCC"/>
    <w:rsid w:val="004804AB"/>
    <w:rsid w:val="0048218A"/>
    <w:rsid w:val="00482E08"/>
    <w:rsid w:val="0048485C"/>
    <w:rsid w:val="0048596F"/>
    <w:rsid w:val="00485AA0"/>
    <w:rsid w:val="00486022"/>
    <w:rsid w:val="00486C74"/>
    <w:rsid w:val="00487293"/>
    <w:rsid w:val="0049111C"/>
    <w:rsid w:val="00492047"/>
    <w:rsid w:val="00492391"/>
    <w:rsid w:val="0049296F"/>
    <w:rsid w:val="00496B00"/>
    <w:rsid w:val="004A20A5"/>
    <w:rsid w:val="004A53A2"/>
    <w:rsid w:val="004B3A7D"/>
    <w:rsid w:val="004B7C74"/>
    <w:rsid w:val="004C4ECA"/>
    <w:rsid w:val="004C7D99"/>
    <w:rsid w:val="004D148A"/>
    <w:rsid w:val="004D32A7"/>
    <w:rsid w:val="004D38A0"/>
    <w:rsid w:val="004D5D6F"/>
    <w:rsid w:val="004D6650"/>
    <w:rsid w:val="004E0F06"/>
    <w:rsid w:val="004E147C"/>
    <w:rsid w:val="004E25DD"/>
    <w:rsid w:val="004E4AEC"/>
    <w:rsid w:val="004E70EB"/>
    <w:rsid w:val="004F0081"/>
    <w:rsid w:val="004F103A"/>
    <w:rsid w:val="004F12AF"/>
    <w:rsid w:val="004F7AFE"/>
    <w:rsid w:val="00501566"/>
    <w:rsid w:val="0050183E"/>
    <w:rsid w:val="00502E3C"/>
    <w:rsid w:val="005060D1"/>
    <w:rsid w:val="00510B33"/>
    <w:rsid w:val="005132B2"/>
    <w:rsid w:val="00513CAA"/>
    <w:rsid w:val="005221FC"/>
    <w:rsid w:val="00522501"/>
    <w:rsid w:val="00522E4E"/>
    <w:rsid w:val="00523DB3"/>
    <w:rsid w:val="00524D99"/>
    <w:rsid w:val="00526B66"/>
    <w:rsid w:val="0052733F"/>
    <w:rsid w:val="0053081A"/>
    <w:rsid w:val="00537752"/>
    <w:rsid w:val="00537B7C"/>
    <w:rsid w:val="005406F8"/>
    <w:rsid w:val="00540B03"/>
    <w:rsid w:val="005462D0"/>
    <w:rsid w:val="005528B7"/>
    <w:rsid w:val="00555C8A"/>
    <w:rsid w:val="00556DA5"/>
    <w:rsid w:val="005576E1"/>
    <w:rsid w:val="00557D99"/>
    <w:rsid w:val="00564A08"/>
    <w:rsid w:val="00565CBF"/>
    <w:rsid w:val="005713A8"/>
    <w:rsid w:val="00572BC7"/>
    <w:rsid w:val="00572DFC"/>
    <w:rsid w:val="00581F51"/>
    <w:rsid w:val="00583ADD"/>
    <w:rsid w:val="00583DAD"/>
    <w:rsid w:val="005842D1"/>
    <w:rsid w:val="0059211B"/>
    <w:rsid w:val="0059277F"/>
    <w:rsid w:val="00592A92"/>
    <w:rsid w:val="0059571B"/>
    <w:rsid w:val="00596FB4"/>
    <w:rsid w:val="00597DAB"/>
    <w:rsid w:val="00597EED"/>
    <w:rsid w:val="005A1169"/>
    <w:rsid w:val="005A13F4"/>
    <w:rsid w:val="005A5955"/>
    <w:rsid w:val="005B138C"/>
    <w:rsid w:val="005B20D3"/>
    <w:rsid w:val="005B4C06"/>
    <w:rsid w:val="005B7EA2"/>
    <w:rsid w:val="005C2573"/>
    <w:rsid w:val="005C6088"/>
    <w:rsid w:val="005C6575"/>
    <w:rsid w:val="005D04C8"/>
    <w:rsid w:val="005D04F7"/>
    <w:rsid w:val="005D0AF8"/>
    <w:rsid w:val="005D30E0"/>
    <w:rsid w:val="005D47ED"/>
    <w:rsid w:val="005E1E2A"/>
    <w:rsid w:val="005E299B"/>
    <w:rsid w:val="005E6FC9"/>
    <w:rsid w:val="005E7885"/>
    <w:rsid w:val="005F32E1"/>
    <w:rsid w:val="005F3E47"/>
    <w:rsid w:val="005F7A2E"/>
    <w:rsid w:val="006004D5"/>
    <w:rsid w:val="0060215A"/>
    <w:rsid w:val="00603F1C"/>
    <w:rsid w:val="0060668A"/>
    <w:rsid w:val="006118DC"/>
    <w:rsid w:val="00616381"/>
    <w:rsid w:val="0061692C"/>
    <w:rsid w:val="00617FB7"/>
    <w:rsid w:val="006216F9"/>
    <w:rsid w:val="00621BB5"/>
    <w:rsid w:val="006248C2"/>
    <w:rsid w:val="0062658F"/>
    <w:rsid w:val="006300F4"/>
    <w:rsid w:val="00630FFF"/>
    <w:rsid w:val="00634C27"/>
    <w:rsid w:val="00634F54"/>
    <w:rsid w:val="00640B54"/>
    <w:rsid w:val="00640EEA"/>
    <w:rsid w:val="006416B4"/>
    <w:rsid w:val="00642F05"/>
    <w:rsid w:val="006461B3"/>
    <w:rsid w:val="0064729F"/>
    <w:rsid w:val="00652D53"/>
    <w:rsid w:val="006543FC"/>
    <w:rsid w:val="0065440B"/>
    <w:rsid w:val="00654A7A"/>
    <w:rsid w:val="00654C99"/>
    <w:rsid w:val="00655596"/>
    <w:rsid w:val="006574F9"/>
    <w:rsid w:val="006611AC"/>
    <w:rsid w:val="00661793"/>
    <w:rsid w:val="00662FB1"/>
    <w:rsid w:val="0066448E"/>
    <w:rsid w:val="006657CF"/>
    <w:rsid w:val="006677F8"/>
    <w:rsid w:val="0067017F"/>
    <w:rsid w:val="00672EF0"/>
    <w:rsid w:val="00673C6A"/>
    <w:rsid w:val="0067516F"/>
    <w:rsid w:val="006800E4"/>
    <w:rsid w:val="006832C4"/>
    <w:rsid w:val="00684DF3"/>
    <w:rsid w:val="00691A26"/>
    <w:rsid w:val="00697226"/>
    <w:rsid w:val="006A01CC"/>
    <w:rsid w:val="006A66C5"/>
    <w:rsid w:val="006A72CA"/>
    <w:rsid w:val="006B0ACB"/>
    <w:rsid w:val="006B0ACE"/>
    <w:rsid w:val="006B0DAF"/>
    <w:rsid w:val="006B0FD9"/>
    <w:rsid w:val="006B4683"/>
    <w:rsid w:val="006B5385"/>
    <w:rsid w:val="006B679C"/>
    <w:rsid w:val="006C0C06"/>
    <w:rsid w:val="006C138C"/>
    <w:rsid w:val="006C1428"/>
    <w:rsid w:val="006C3B85"/>
    <w:rsid w:val="006C5945"/>
    <w:rsid w:val="006D05D0"/>
    <w:rsid w:val="006D22A3"/>
    <w:rsid w:val="006D3582"/>
    <w:rsid w:val="006E1B6A"/>
    <w:rsid w:val="006E5D1A"/>
    <w:rsid w:val="006E7B71"/>
    <w:rsid w:val="006F0E35"/>
    <w:rsid w:val="006F1EEC"/>
    <w:rsid w:val="006F4074"/>
    <w:rsid w:val="006F68D2"/>
    <w:rsid w:val="0070010B"/>
    <w:rsid w:val="00701734"/>
    <w:rsid w:val="00710994"/>
    <w:rsid w:val="007174D0"/>
    <w:rsid w:val="00721560"/>
    <w:rsid w:val="00726036"/>
    <w:rsid w:val="007270FC"/>
    <w:rsid w:val="007324D1"/>
    <w:rsid w:val="00733087"/>
    <w:rsid w:val="007332F1"/>
    <w:rsid w:val="007338D2"/>
    <w:rsid w:val="007377DD"/>
    <w:rsid w:val="007409AC"/>
    <w:rsid w:val="0074167B"/>
    <w:rsid w:val="0074341E"/>
    <w:rsid w:val="007514A6"/>
    <w:rsid w:val="00751F08"/>
    <w:rsid w:val="007523F6"/>
    <w:rsid w:val="00763F37"/>
    <w:rsid w:val="007663DC"/>
    <w:rsid w:val="007666A8"/>
    <w:rsid w:val="00776D4B"/>
    <w:rsid w:val="00783BF6"/>
    <w:rsid w:val="007861E2"/>
    <w:rsid w:val="007924EE"/>
    <w:rsid w:val="00792D02"/>
    <w:rsid w:val="00793279"/>
    <w:rsid w:val="00793399"/>
    <w:rsid w:val="0079583C"/>
    <w:rsid w:val="007975F1"/>
    <w:rsid w:val="007A0669"/>
    <w:rsid w:val="007A0FB9"/>
    <w:rsid w:val="007A1F22"/>
    <w:rsid w:val="007A2250"/>
    <w:rsid w:val="007A4E6D"/>
    <w:rsid w:val="007A60EB"/>
    <w:rsid w:val="007B2769"/>
    <w:rsid w:val="007B4880"/>
    <w:rsid w:val="007C1496"/>
    <w:rsid w:val="007C413B"/>
    <w:rsid w:val="007C6400"/>
    <w:rsid w:val="007C66F7"/>
    <w:rsid w:val="007C7EAD"/>
    <w:rsid w:val="007D076E"/>
    <w:rsid w:val="007D0DFA"/>
    <w:rsid w:val="007D3F2A"/>
    <w:rsid w:val="007D57EE"/>
    <w:rsid w:val="007D7A6B"/>
    <w:rsid w:val="007E1CB3"/>
    <w:rsid w:val="007F3AB4"/>
    <w:rsid w:val="007F72EA"/>
    <w:rsid w:val="007F7993"/>
    <w:rsid w:val="00801DBB"/>
    <w:rsid w:val="00802966"/>
    <w:rsid w:val="0081026B"/>
    <w:rsid w:val="00812508"/>
    <w:rsid w:val="0081387D"/>
    <w:rsid w:val="00820AD6"/>
    <w:rsid w:val="008235BB"/>
    <w:rsid w:val="008317DA"/>
    <w:rsid w:val="00833AF3"/>
    <w:rsid w:val="008345D0"/>
    <w:rsid w:val="008403F1"/>
    <w:rsid w:val="00842057"/>
    <w:rsid w:val="0084264F"/>
    <w:rsid w:val="00842B70"/>
    <w:rsid w:val="00842BAF"/>
    <w:rsid w:val="0084338C"/>
    <w:rsid w:val="00846306"/>
    <w:rsid w:val="00847246"/>
    <w:rsid w:val="008505F3"/>
    <w:rsid w:val="0085587E"/>
    <w:rsid w:val="00856F6E"/>
    <w:rsid w:val="0086005B"/>
    <w:rsid w:val="00862889"/>
    <w:rsid w:val="00864530"/>
    <w:rsid w:val="00864C55"/>
    <w:rsid w:val="008669C8"/>
    <w:rsid w:val="0087035A"/>
    <w:rsid w:val="00872910"/>
    <w:rsid w:val="008771F5"/>
    <w:rsid w:val="00881BDB"/>
    <w:rsid w:val="008820ED"/>
    <w:rsid w:val="00883627"/>
    <w:rsid w:val="00884167"/>
    <w:rsid w:val="0088422B"/>
    <w:rsid w:val="00891A7E"/>
    <w:rsid w:val="00893A01"/>
    <w:rsid w:val="00893ED9"/>
    <w:rsid w:val="00895B15"/>
    <w:rsid w:val="008A059D"/>
    <w:rsid w:val="008A2C7D"/>
    <w:rsid w:val="008A35B7"/>
    <w:rsid w:val="008A7212"/>
    <w:rsid w:val="008B2486"/>
    <w:rsid w:val="008B257A"/>
    <w:rsid w:val="008B7BCE"/>
    <w:rsid w:val="008B7EF9"/>
    <w:rsid w:val="008C1304"/>
    <w:rsid w:val="008C360E"/>
    <w:rsid w:val="008C366C"/>
    <w:rsid w:val="008D1148"/>
    <w:rsid w:val="008D390B"/>
    <w:rsid w:val="008D4843"/>
    <w:rsid w:val="008D6FB6"/>
    <w:rsid w:val="008E4D8E"/>
    <w:rsid w:val="008E53C2"/>
    <w:rsid w:val="008E652D"/>
    <w:rsid w:val="008F1FCF"/>
    <w:rsid w:val="008F2AD7"/>
    <w:rsid w:val="008F2F3B"/>
    <w:rsid w:val="008F5562"/>
    <w:rsid w:val="008F5ADA"/>
    <w:rsid w:val="00903E7A"/>
    <w:rsid w:val="00904EF2"/>
    <w:rsid w:val="00905463"/>
    <w:rsid w:val="00906E8D"/>
    <w:rsid w:val="0091307F"/>
    <w:rsid w:val="0091462E"/>
    <w:rsid w:val="00914FE3"/>
    <w:rsid w:val="00926D84"/>
    <w:rsid w:val="0093019F"/>
    <w:rsid w:val="00930CB3"/>
    <w:rsid w:val="00932CA2"/>
    <w:rsid w:val="00933EF4"/>
    <w:rsid w:val="0093574D"/>
    <w:rsid w:val="0093786E"/>
    <w:rsid w:val="00941607"/>
    <w:rsid w:val="00941676"/>
    <w:rsid w:val="00946FB3"/>
    <w:rsid w:val="0094738B"/>
    <w:rsid w:val="00961060"/>
    <w:rsid w:val="00961BD6"/>
    <w:rsid w:val="00965C19"/>
    <w:rsid w:val="0097278E"/>
    <w:rsid w:val="009744A0"/>
    <w:rsid w:val="00975847"/>
    <w:rsid w:val="00976781"/>
    <w:rsid w:val="00980A0E"/>
    <w:rsid w:val="00980D2E"/>
    <w:rsid w:val="00983E93"/>
    <w:rsid w:val="009857BB"/>
    <w:rsid w:val="009860EA"/>
    <w:rsid w:val="00986270"/>
    <w:rsid w:val="00986B05"/>
    <w:rsid w:val="00990CAE"/>
    <w:rsid w:val="009927EA"/>
    <w:rsid w:val="009951E1"/>
    <w:rsid w:val="00995284"/>
    <w:rsid w:val="00997C50"/>
    <w:rsid w:val="009A3450"/>
    <w:rsid w:val="009A4904"/>
    <w:rsid w:val="009B0743"/>
    <w:rsid w:val="009B0977"/>
    <w:rsid w:val="009B60DA"/>
    <w:rsid w:val="009B66C8"/>
    <w:rsid w:val="009B6779"/>
    <w:rsid w:val="009C21B3"/>
    <w:rsid w:val="009C2C42"/>
    <w:rsid w:val="009C3057"/>
    <w:rsid w:val="009C4928"/>
    <w:rsid w:val="009D2FAE"/>
    <w:rsid w:val="009E0EE9"/>
    <w:rsid w:val="009E3239"/>
    <w:rsid w:val="009E3D4E"/>
    <w:rsid w:val="009E57F9"/>
    <w:rsid w:val="009E6A28"/>
    <w:rsid w:val="009F1C5E"/>
    <w:rsid w:val="009F47A0"/>
    <w:rsid w:val="00A000A0"/>
    <w:rsid w:val="00A046BA"/>
    <w:rsid w:val="00A117D2"/>
    <w:rsid w:val="00A13540"/>
    <w:rsid w:val="00A239A7"/>
    <w:rsid w:val="00A25B31"/>
    <w:rsid w:val="00A321F3"/>
    <w:rsid w:val="00A36B64"/>
    <w:rsid w:val="00A37869"/>
    <w:rsid w:val="00A43A9B"/>
    <w:rsid w:val="00A443AE"/>
    <w:rsid w:val="00A449C7"/>
    <w:rsid w:val="00A44A88"/>
    <w:rsid w:val="00A502F9"/>
    <w:rsid w:val="00A517D0"/>
    <w:rsid w:val="00A53A8A"/>
    <w:rsid w:val="00A5427A"/>
    <w:rsid w:val="00A61582"/>
    <w:rsid w:val="00A6452F"/>
    <w:rsid w:val="00A7199E"/>
    <w:rsid w:val="00A72122"/>
    <w:rsid w:val="00A74259"/>
    <w:rsid w:val="00A74752"/>
    <w:rsid w:val="00A7486A"/>
    <w:rsid w:val="00A749E1"/>
    <w:rsid w:val="00A8045D"/>
    <w:rsid w:val="00A80997"/>
    <w:rsid w:val="00A81465"/>
    <w:rsid w:val="00A81B6C"/>
    <w:rsid w:val="00A824A3"/>
    <w:rsid w:val="00A82D15"/>
    <w:rsid w:val="00A85A35"/>
    <w:rsid w:val="00A914CA"/>
    <w:rsid w:val="00A936C6"/>
    <w:rsid w:val="00A94775"/>
    <w:rsid w:val="00A96DDE"/>
    <w:rsid w:val="00A96E16"/>
    <w:rsid w:val="00AA083A"/>
    <w:rsid w:val="00AA088E"/>
    <w:rsid w:val="00AA2392"/>
    <w:rsid w:val="00AA5771"/>
    <w:rsid w:val="00AA63FF"/>
    <w:rsid w:val="00AB443F"/>
    <w:rsid w:val="00AB5E84"/>
    <w:rsid w:val="00AB75B4"/>
    <w:rsid w:val="00AC3715"/>
    <w:rsid w:val="00AC6CBB"/>
    <w:rsid w:val="00AC7F43"/>
    <w:rsid w:val="00AD0477"/>
    <w:rsid w:val="00AD1A79"/>
    <w:rsid w:val="00AD22D4"/>
    <w:rsid w:val="00AD2E68"/>
    <w:rsid w:val="00AD3BD7"/>
    <w:rsid w:val="00AD7CC8"/>
    <w:rsid w:val="00AE0B88"/>
    <w:rsid w:val="00AE2D8D"/>
    <w:rsid w:val="00AE3E4C"/>
    <w:rsid w:val="00AE6E25"/>
    <w:rsid w:val="00AF026D"/>
    <w:rsid w:val="00AF1CF8"/>
    <w:rsid w:val="00AF2293"/>
    <w:rsid w:val="00AF404A"/>
    <w:rsid w:val="00AF4B99"/>
    <w:rsid w:val="00AF5646"/>
    <w:rsid w:val="00AF5CF3"/>
    <w:rsid w:val="00AF6B3A"/>
    <w:rsid w:val="00AF7AC8"/>
    <w:rsid w:val="00AF7B17"/>
    <w:rsid w:val="00B005AE"/>
    <w:rsid w:val="00B055B1"/>
    <w:rsid w:val="00B05735"/>
    <w:rsid w:val="00B05A9E"/>
    <w:rsid w:val="00B06940"/>
    <w:rsid w:val="00B108AE"/>
    <w:rsid w:val="00B1092F"/>
    <w:rsid w:val="00B13C9D"/>
    <w:rsid w:val="00B15E6B"/>
    <w:rsid w:val="00B16BBB"/>
    <w:rsid w:val="00B23B66"/>
    <w:rsid w:val="00B2426C"/>
    <w:rsid w:val="00B24433"/>
    <w:rsid w:val="00B264C2"/>
    <w:rsid w:val="00B272DF"/>
    <w:rsid w:val="00B30014"/>
    <w:rsid w:val="00B33A39"/>
    <w:rsid w:val="00B34532"/>
    <w:rsid w:val="00B40E49"/>
    <w:rsid w:val="00B45CBD"/>
    <w:rsid w:val="00B460B0"/>
    <w:rsid w:val="00B50D60"/>
    <w:rsid w:val="00B5154C"/>
    <w:rsid w:val="00B52A01"/>
    <w:rsid w:val="00B54754"/>
    <w:rsid w:val="00B54A7F"/>
    <w:rsid w:val="00B56528"/>
    <w:rsid w:val="00B578BA"/>
    <w:rsid w:val="00B602B8"/>
    <w:rsid w:val="00B62FB1"/>
    <w:rsid w:val="00B6309A"/>
    <w:rsid w:val="00B66BFF"/>
    <w:rsid w:val="00B71430"/>
    <w:rsid w:val="00B732F9"/>
    <w:rsid w:val="00B7540C"/>
    <w:rsid w:val="00B759E8"/>
    <w:rsid w:val="00B77DB0"/>
    <w:rsid w:val="00B83285"/>
    <w:rsid w:val="00B83BD1"/>
    <w:rsid w:val="00B84789"/>
    <w:rsid w:val="00B85769"/>
    <w:rsid w:val="00B85E69"/>
    <w:rsid w:val="00B87F00"/>
    <w:rsid w:val="00B91EEF"/>
    <w:rsid w:val="00B93318"/>
    <w:rsid w:val="00B96022"/>
    <w:rsid w:val="00BA1EEC"/>
    <w:rsid w:val="00BA3245"/>
    <w:rsid w:val="00BB001C"/>
    <w:rsid w:val="00BB24F3"/>
    <w:rsid w:val="00BB58D8"/>
    <w:rsid w:val="00BB7330"/>
    <w:rsid w:val="00BB73FA"/>
    <w:rsid w:val="00BC476A"/>
    <w:rsid w:val="00BC71FF"/>
    <w:rsid w:val="00BD0FFD"/>
    <w:rsid w:val="00BD6A03"/>
    <w:rsid w:val="00BE1B4A"/>
    <w:rsid w:val="00BE27B4"/>
    <w:rsid w:val="00BE3BBC"/>
    <w:rsid w:val="00BE4CAF"/>
    <w:rsid w:val="00BE52BF"/>
    <w:rsid w:val="00BE6A22"/>
    <w:rsid w:val="00BF2054"/>
    <w:rsid w:val="00C00BB8"/>
    <w:rsid w:val="00C02233"/>
    <w:rsid w:val="00C03E78"/>
    <w:rsid w:val="00C05BED"/>
    <w:rsid w:val="00C106C2"/>
    <w:rsid w:val="00C12D14"/>
    <w:rsid w:val="00C15121"/>
    <w:rsid w:val="00C171FF"/>
    <w:rsid w:val="00C21009"/>
    <w:rsid w:val="00C21363"/>
    <w:rsid w:val="00C2460C"/>
    <w:rsid w:val="00C25E90"/>
    <w:rsid w:val="00C274BB"/>
    <w:rsid w:val="00C33A74"/>
    <w:rsid w:val="00C33F8B"/>
    <w:rsid w:val="00C3441F"/>
    <w:rsid w:val="00C35D7F"/>
    <w:rsid w:val="00C37129"/>
    <w:rsid w:val="00C403E4"/>
    <w:rsid w:val="00C444C3"/>
    <w:rsid w:val="00C448FA"/>
    <w:rsid w:val="00C45BD6"/>
    <w:rsid w:val="00C477B0"/>
    <w:rsid w:val="00C47A56"/>
    <w:rsid w:val="00C52FC2"/>
    <w:rsid w:val="00C56C59"/>
    <w:rsid w:val="00C63F8A"/>
    <w:rsid w:val="00C67CE0"/>
    <w:rsid w:val="00C70CDB"/>
    <w:rsid w:val="00C71834"/>
    <w:rsid w:val="00C73EC2"/>
    <w:rsid w:val="00C74F11"/>
    <w:rsid w:val="00C76E10"/>
    <w:rsid w:val="00C80B77"/>
    <w:rsid w:val="00C82891"/>
    <w:rsid w:val="00C834C8"/>
    <w:rsid w:val="00C848BB"/>
    <w:rsid w:val="00C86369"/>
    <w:rsid w:val="00C86E14"/>
    <w:rsid w:val="00C945B7"/>
    <w:rsid w:val="00C95E5D"/>
    <w:rsid w:val="00CA1AFA"/>
    <w:rsid w:val="00CA37BA"/>
    <w:rsid w:val="00CA56A4"/>
    <w:rsid w:val="00CA58AD"/>
    <w:rsid w:val="00CA67B3"/>
    <w:rsid w:val="00CA680C"/>
    <w:rsid w:val="00CA70DE"/>
    <w:rsid w:val="00CB5D78"/>
    <w:rsid w:val="00CB6B4A"/>
    <w:rsid w:val="00CC1EDE"/>
    <w:rsid w:val="00CC5434"/>
    <w:rsid w:val="00CC58F8"/>
    <w:rsid w:val="00CC64C5"/>
    <w:rsid w:val="00CD0A35"/>
    <w:rsid w:val="00CD2205"/>
    <w:rsid w:val="00CD3265"/>
    <w:rsid w:val="00CD5F91"/>
    <w:rsid w:val="00CE0B40"/>
    <w:rsid w:val="00CE19E5"/>
    <w:rsid w:val="00CE689F"/>
    <w:rsid w:val="00CE75AF"/>
    <w:rsid w:val="00CF22E2"/>
    <w:rsid w:val="00CF2434"/>
    <w:rsid w:val="00CF2FB3"/>
    <w:rsid w:val="00CF5A48"/>
    <w:rsid w:val="00D01350"/>
    <w:rsid w:val="00D01519"/>
    <w:rsid w:val="00D05B1F"/>
    <w:rsid w:val="00D114C9"/>
    <w:rsid w:val="00D1206A"/>
    <w:rsid w:val="00D14E56"/>
    <w:rsid w:val="00D14E7F"/>
    <w:rsid w:val="00D204CA"/>
    <w:rsid w:val="00D20B00"/>
    <w:rsid w:val="00D21499"/>
    <w:rsid w:val="00D21685"/>
    <w:rsid w:val="00D27D8F"/>
    <w:rsid w:val="00D326DC"/>
    <w:rsid w:val="00D34C57"/>
    <w:rsid w:val="00D354E8"/>
    <w:rsid w:val="00D44122"/>
    <w:rsid w:val="00D50B12"/>
    <w:rsid w:val="00D55086"/>
    <w:rsid w:val="00D554DA"/>
    <w:rsid w:val="00D560A1"/>
    <w:rsid w:val="00D60BFC"/>
    <w:rsid w:val="00D60FF3"/>
    <w:rsid w:val="00D61BA7"/>
    <w:rsid w:val="00D62066"/>
    <w:rsid w:val="00D62A94"/>
    <w:rsid w:val="00D63317"/>
    <w:rsid w:val="00D63EFA"/>
    <w:rsid w:val="00D65323"/>
    <w:rsid w:val="00D655F5"/>
    <w:rsid w:val="00D67C46"/>
    <w:rsid w:val="00D70591"/>
    <w:rsid w:val="00D72751"/>
    <w:rsid w:val="00D75029"/>
    <w:rsid w:val="00D75A79"/>
    <w:rsid w:val="00D8098F"/>
    <w:rsid w:val="00D81B02"/>
    <w:rsid w:val="00D845C7"/>
    <w:rsid w:val="00D8726C"/>
    <w:rsid w:val="00D875D8"/>
    <w:rsid w:val="00D907A2"/>
    <w:rsid w:val="00D922F9"/>
    <w:rsid w:val="00D93474"/>
    <w:rsid w:val="00D93ECA"/>
    <w:rsid w:val="00D94969"/>
    <w:rsid w:val="00DA1424"/>
    <w:rsid w:val="00DA145B"/>
    <w:rsid w:val="00DA6116"/>
    <w:rsid w:val="00DA7E3C"/>
    <w:rsid w:val="00DB07E6"/>
    <w:rsid w:val="00DB17C0"/>
    <w:rsid w:val="00DB1C84"/>
    <w:rsid w:val="00DB7B6F"/>
    <w:rsid w:val="00DC27FD"/>
    <w:rsid w:val="00DC480F"/>
    <w:rsid w:val="00DC598D"/>
    <w:rsid w:val="00DC727C"/>
    <w:rsid w:val="00DD15DC"/>
    <w:rsid w:val="00DD25D0"/>
    <w:rsid w:val="00DD4BB7"/>
    <w:rsid w:val="00DE01A0"/>
    <w:rsid w:val="00DE0699"/>
    <w:rsid w:val="00DE255D"/>
    <w:rsid w:val="00DE4B88"/>
    <w:rsid w:val="00DE4C60"/>
    <w:rsid w:val="00DF21DF"/>
    <w:rsid w:val="00DF4CC2"/>
    <w:rsid w:val="00DF648D"/>
    <w:rsid w:val="00DF6966"/>
    <w:rsid w:val="00DF76E8"/>
    <w:rsid w:val="00E0216F"/>
    <w:rsid w:val="00E04222"/>
    <w:rsid w:val="00E074A9"/>
    <w:rsid w:val="00E07820"/>
    <w:rsid w:val="00E07B06"/>
    <w:rsid w:val="00E1281F"/>
    <w:rsid w:val="00E13CEF"/>
    <w:rsid w:val="00E21F4E"/>
    <w:rsid w:val="00E24777"/>
    <w:rsid w:val="00E2493A"/>
    <w:rsid w:val="00E26075"/>
    <w:rsid w:val="00E2644D"/>
    <w:rsid w:val="00E307C4"/>
    <w:rsid w:val="00E35FB0"/>
    <w:rsid w:val="00E369B9"/>
    <w:rsid w:val="00E373BF"/>
    <w:rsid w:val="00E43975"/>
    <w:rsid w:val="00E44747"/>
    <w:rsid w:val="00E4556A"/>
    <w:rsid w:val="00E4561A"/>
    <w:rsid w:val="00E4755C"/>
    <w:rsid w:val="00E53BE7"/>
    <w:rsid w:val="00E54FD9"/>
    <w:rsid w:val="00E60282"/>
    <w:rsid w:val="00E61CD8"/>
    <w:rsid w:val="00E64B36"/>
    <w:rsid w:val="00E65333"/>
    <w:rsid w:val="00E660F1"/>
    <w:rsid w:val="00E66E08"/>
    <w:rsid w:val="00E67515"/>
    <w:rsid w:val="00E70661"/>
    <w:rsid w:val="00E71992"/>
    <w:rsid w:val="00E7204F"/>
    <w:rsid w:val="00E73A67"/>
    <w:rsid w:val="00E74CC5"/>
    <w:rsid w:val="00E76B00"/>
    <w:rsid w:val="00E8008F"/>
    <w:rsid w:val="00E8367D"/>
    <w:rsid w:val="00E85DB1"/>
    <w:rsid w:val="00E87E49"/>
    <w:rsid w:val="00E905C4"/>
    <w:rsid w:val="00EA0E11"/>
    <w:rsid w:val="00EA434B"/>
    <w:rsid w:val="00EA6323"/>
    <w:rsid w:val="00EB0782"/>
    <w:rsid w:val="00EB0B75"/>
    <w:rsid w:val="00EB0DEC"/>
    <w:rsid w:val="00EB44F5"/>
    <w:rsid w:val="00EB63FE"/>
    <w:rsid w:val="00EB669A"/>
    <w:rsid w:val="00EB7E0B"/>
    <w:rsid w:val="00EC042F"/>
    <w:rsid w:val="00EC0DA8"/>
    <w:rsid w:val="00EC13FB"/>
    <w:rsid w:val="00EC15FA"/>
    <w:rsid w:val="00EC3B65"/>
    <w:rsid w:val="00EC48D4"/>
    <w:rsid w:val="00EC7931"/>
    <w:rsid w:val="00EC79F3"/>
    <w:rsid w:val="00ED4556"/>
    <w:rsid w:val="00ED5226"/>
    <w:rsid w:val="00EE2AA0"/>
    <w:rsid w:val="00EE3596"/>
    <w:rsid w:val="00EE4B30"/>
    <w:rsid w:val="00EE6713"/>
    <w:rsid w:val="00EF040F"/>
    <w:rsid w:val="00EF1554"/>
    <w:rsid w:val="00EF1AC2"/>
    <w:rsid w:val="00EF2B54"/>
    <w:rsid w:val="00EF305D"/>
    <w:rsid w:val="00EF4238"/>
    <w:rsid w:val="00EF6A36"/>
    <w:rsid w:val="00F0724E"/>
    <w:rsid w:val="00F101AD"/>
    <w:rsid w:val="00F11DD5"/>
    <w:rsid w:val="00F15E93"/>
    <w:rsid w:val="00F20A0C"/>
    <w:rsid w:val="00F273FA"/>
    <w:rsid w:val="00F308B7"/>
    <w:rsid w:val="00F35B79"/>
    <w:rsid w:val="00F362C7"/>
    <w:rsid w:val="00F36E24"/>
    <w:rsid w:val="00F4193B"/>
    <w:rsid w:val="00F45181"/>
    <w:rsid w:val="00F45972"/>
    <w:rsid w:val="00F502B8"/>
    <w:rsid w:val="00F52126"/>
    <w:rsid w:val="00F52AD0"/>
    <w:rsid w:val="00F53236"/>
    <w:rsid w:val="00F5386B"/>
    <w:rsid w:val="00F55A6A"/>
    <w:rsid w:val="00F56917"/>
    <w:rsid w:val="00F576F6"/>
    <w:rsid w:val="00F61E46"/>
    <w:rsid w:val="00F62E0C"/>
    <w:rsid w:val="00F63070"/>
    <w:rsid w:val="00F65A00"/>
    <w:rsid w:val="00F70314"/>
    <w:rsid w:val="00F705BC"/>
    <w:rsid w:val="00F7582B"/>
    <w:rsid w:val="00F77333"/>
    <w:rsid w:val="00F806F6"/>
    <w:rsid w:val="00F815E5"/>
    <w:rsid w:val="00F82091"/>
    <w:rsid w:val="00F8347C"/>
    <w:rsid w:val="00F879AC"/>
    <w:rsid w:val="00F9554B"/>
    <w:rsid w:val="00FA13BA"/>
    <w:rsid w:val="00FA2007"/>
    <w:rsid w:val="00FA4548"/>
    <w:rsid w:val="00FA56EC"/>
    <w:rsid w:val="00FA5B02"/>
    <w:rsid w:val="00FB0E69"/>
    <w:rsid w:val="00FB5C21"/>
    <w:rsid w:val="00FB674C"/>
    <w:rsid w:val="00FC1EC2"/>
    <w:rsid w:val="00FC298F"/>
    <w:rsid w:val="00FC2A67"/>
    <w:rsid w:val="00FC69CC"/>
    <w:rsid w:val="00FD1831"/>
    <w:rsid w:val="00FD341D"/>
    <w:rsid w:val="00FD4419"/>
    <w:rsid w:val="00FD7D38"/>
    <w:rsid w:val="00FE26B7"/>
    <w:rsid w:val="00FE4BDF"/>
    <w:rsid w:val="00FF5D0D"/>
    <w:rsid w:val="00FF6727"/>
    <w:rsid w:val="00FF6E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CB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2AF"/>
    <w:pPr>
      <w:bidi/>
    </w:pPr>
    <w:rPr>
      <w:sz w:val="24"/>
      <w:szCs w:val="24"/>
    </w:rPr>
  </w:style>
  <w:style w:type="paragraph" w:styleId="1">
    <w:name w:val="heading 1"/>
    <w:basedOn w:val="a"/>
    <w:next w:val="a"/>
    <w:qFormat/>
    <w:rsid w:val="0081026B"/>
    <w:pPr>
      <w:keepNext/>
      <w:spacing w:before="240" w:after="60"/>
      <w:outlineLvl w:val="0"/>
    </w:pPr>
    <w:rPr>
      <w:b/>
      <w:bCs/>
      <w:kern w:val="32"/>
      <w:sz w:val="32"/>
      <w:szCs w:val="32"/>
    </w:rPr>
  </w:style>
  <w:style w:type="paragraph" w:styleId="2">
    <w:name w:val="heading 2"/>
    <w:basedOn w:val="a"/>
    <w:next w:val="a"/>
    <w:qFormat/>
    <w:rsid w:val="0081026B"/>
    <w:pPr>
      <w:keepNext/>
      <w:spacing w:before="240" w:after="60"/>
      <w:outlineLvl w:val="1"/>
    </w:pPr>
    <w:rPr>
      <w:b/>
      <w:bCs/>
      <w:i/>
      <w:iCs/>
      <w:sz w:val="28"/>
      <w:szCs w:val="28"/>
    </w:rPr>
  </w:style>
  <w:style w:type="paragraph" w:styleId="3">
    <w:name w:val="heading 3"/>
    <w:basedOn w:val="a"/>
    <w:next w:val="a"/>
    <w:qFormat/>
    <w:rsid w:val="0081026B"/>
    <w:pPr>
      <w:keepNext/>
      <w:spacing w:before="240" w:after="60"/>
      <w:outlineLvl w:val="2"/>
    </w:pPr>
    <w:rPr>
      <w:b/>
      <w:bCs/>
      <w:sz w:val="26"/>
      <w:szCs w:val="26"/>
    </w:rPr>
  </w:style>
  <w:style w:type="paragraph" w:styleId="4">
    <w:name w:val="heading 4"/>
    <w:basedOn w:val="a"/>
    <w:next w:val="a"/>
    <w:qFormat/>
    <w:rsid w:val="0081026B"/>
    <w:pPr>
      <w:keepNext/>
      <w:spacing w:before="240" w:after="60"/>
      <w:outlineLvl w:val="3"/>
    </w:pPr>
    <w:rPr>
      <w:b/>
      <w:bCs/>
      <w:sz w:val="28"/>
      <w:szCs w:val="28"/>
    </w:rPr>
  </w:style>
  <w:style w:type="paragraph" w:styleId="5">
    <w:name w:val="heading 5"/>
    <w:basedOn w:val="a"/>
    <w:next w:val="a"/>
    <w:qFormat/>
    <w:rsid w:val="0081026B"/>
    <w:pPr>
      <w:spacing w:before="240" w:after="60"/>
      <w:outlineLvl w:val="4"/>
    </w:pPr>
    <w:rPr>
      <w:b/>
      <w:bCs/>
      <w:i/>
      <w:iCs/>
      <w:sz w:val="26"/>
      <w:szCs w:val="26"/>
    </w:rPr>
  </w:style>
  <w:style w:type="paragraph" w:styleId="6">
    <w:name w:val="heading 6"/>
    <w:basedOn w:val="a"/>
    <w:next w:val="a"/>
    <w:qFormat/>
    <w:rsid w:val="0081026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62D0"/>
    <w:pPr>
      <w:tabs>
        <w:tab w:val="center" w:pos="4153"/>
        <w:tab w:val="right" w:pos="8306"/>
      </w:tabs>
    </w:pPr>
  </w:style>
  <w:style w:type="paragraph" w:customStyle="1" w:styleId="regpar">
    <w:name w:val="regpar"/>
    <w:basedOn w:val="a"/>
    <w:link w:val="regparChar"/>
    <w:rsid w:val="005462D0"/>
    <w:pPr>
      <w:bidi w:val="0"/>
      <w:spacing w:line="300" w:lineRule="exact"/>
      <w:ind w:firstLine="240"/>
      <w:jc w:val="both"/>
    </w:pPr>
    <w:rPr>
      <w:rFonts w:ascii="Times" w:hAnsi="Times" w:cs="Times"/>
    </w:rPr>
  </w:style>
  <w:style w:type="table" w:styleId="a5">
    <w:name w:val="Table Theme"/>
    <w:basedOn w:val="a1"/>
    <w:rsid w:val="0081026B"/>
    <w:pPr>
      <w:bidi/>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rsid w:val="0081026B"/>
    <w:rPr>
      <w:color w:val="0000FF"/>
      <w:u w:val="single"/>
    </w:rPr>
  </w:style>
  <w:style w:type="character" w:styleId="FollowedHyperlink">
    <w:name w:val="FollowedHyperlink"/>
    <w:rsid w:val="0081026B"/>
    <w:rPr>
      <w:color w:val="606420"/>
      <w:u w:val="single"/>
    </w:rPr>
  </w:style>
  <w:style w:type="paragraph" w:styleId="a6">
    <w:name w:val="footer"/>
    <w:basedOn w:val="a"/>
    <w:link w:val="a7"/>
    <w:uiPriority w:val="99"/>
    <w:rsid w:val="00E64B36"/>
    <w:pPr>
      <w:tabs>
        <w:tab w:val="center" w:pos="4153"/>
        <w:tab w:val="right" w:pos="8306"/>
      </w:tabs>
    </w:pPr>
  </w:style>
  <w:style w:type="character" w:customStyle="1" w:styleId="a7">
    <w:name w:val="כותרת תחתונה תו"/>
    <w:link w:val="a6"/>
    <w:uiPriority w:val="99"/>
    <w:rsid w:val="00E64B36"/>
    <w:rPr>
      <w:sz w:val="24"/>
      <w:szCs w:val="24"/>
    </w:rPr>
  </w:style>
  <w:style w:type="character" w:customStyle="1" w:styleId="a4">
    <w:name w:val="כותרת עליונה תו"/>
    <w:link w:val="a3"/>
    <w:uiPriority w:val="99"/>
    <w:rsid w:val="00E64B36"/>
    <w:rPr>
      <w:sz w:val="24"/>
      <w:szCs w:val="24"/>
    </w:rPr>
  </w:style>
  <w:style w:type="paragraph" w:styleId="a8">
    <w:name w:val="Balloon Text"/>
    <w:basedOn w:val="a"/>
    <w:link w:val="a9"/>
    <w:rsid w:val="00E64B36"/>
    <w:rPr>
      <w:rFonts w:ascii="Tahoma" w:hAnsi="Tahoma" w:cs="Tahoma"/>
      <w:sz w:val="16"/>
      <w:szCs w:val="16"/>
    </w:rPr>
  </w:style>
  <w:style w:type="character" w:customStyle="1" w:styleId="a9">
    <w:name w:val="טקסט בלונים תו"/>
    <w:link w:val="a8"/>
    <w:rsid w:val="00E64B36"/>
    <w:rPr>
      <w:rFonts w:ascii="Tahoma" w:hAnsi="Tahoma" w:cs="Tahoma"/>
      <w:sz w:val="16"/>
      <w:szCs w:val="16"/>
    </w:rPr>
  </w:style>
  <w:style w:type="paragraph" w:styleId="aa">
    <w:name w:val="List Paragraph"/>
    <w:basedOn w:val="a"/>
    <w:uiPriority w:val="34"/>
    <w:qFormat/>
    <w:rsid w:val="00961BD6"/>
    <w:pPr>
      <w:bidi w:val="0"/>
      <w:ind w:left="720"/>
      <w:contextualSpacing/>
    </w:pPr>
    <w:rPr>
      <w:rFonts w:eastAsia="Calibri" w:cs="Arial"/>
      <w:szCs w:val="22"/>
    </w:rPr>
  </w:style>
  <w:style w:type="paragraph" w:styleId="ab">
    <w:name w:val="footnote text"/>
    <w:basedOn w:val="a"/>
    <w:link w:val="ac"/>
    <w:unhideWhenUsed/>
    <w:rsid w:val="00596FB4"/>
    <w:pPr>
      <w:bidi w:val="0"/>
      <w:spacing w:line="300" w:lineRule="exact"/>
      <w:jc w:val="both"/>
    </w:pPr>
    <w:rPr>
      <w:rFonts w:ascii="Times" w:hAnsi="Times" w:cs="Times"/>
      <w:sz w:val="20"/>
      <w:szCs w:val="20"/>
    </w:rPr>
  </w:style>
  <w:style w:type="character" w:customStyle="1" w:styleId="ac">
    <w:name w:val="טקסט הערת שוליים תו"/>
    <w:link w:val="ab"/>
    <w:rsid w:val="00596FB4"/>
    <w:rPr>
      <w:rFonts w:ascii="Times" w:hAnsi="Times" w:cs="Times"/>
    </w:rPr>
  </w:style>
  <w:style w:type="character" w:styleId="ad">
    <w:name w:val="footnote reference"/>
    <w:unhideWhenUsed/>
    <w:rsid w:val="00596FB4"/>
    <w:rPr>
      <w:vertAlign w:val="superscript"/>
    </w:rPr>
  </w:style>
  <w:style w:type="paragraph" w:customStyle="1" w:styleId="LetterheadBOI">
    <w:name w:val="Letterhead BOI"/>
    <w:basedOn w:val="regpar"/>
    <w:link w:val="LetterheadBOIChar"/>
    <w:qFormat/>
    <w:rsid w:val="0094738B"/>
    <w:pPr>
      <w:spacing w:line="300" w:lineRule="atLeast"/>
      <w:ind w:firstLine="0"/>
      <w:jc w:val="center"/>
    </w:pPr>
    <w:rPr>
      <w:rFonts w:ascii="Times New Roman" w:hAnsi="Times New Roman" w:cs="David"/>
      <w:b/>
    </w:rPr>
  </w:style>
  <w:style w:type="paragraph" w:customStyle="1" w:styleId="Letterhead2">
    <w:name w:val="Letterhead 2"/>
    <w:basedOn w:val="regpar"/>
    <w:link w:val="Letterhead2Char"/>
    <w:qFormat/>
    <w:rsid w:val="0094738B"/>
    <w:pPr>
      <w:spacing w:line="300" w:lineRule="atLeast"/>
      <w:ind w:firstLine="0"/>
      <w:jc w:val="center"/>
    </w:pPr>
    <w:rPr>
      <w:rFonts w:ascii="Times New Roman" w:hAnsi="Times New Roman" w:cs="Times New Roman"/>
      <w:sz w:val="26"/>
      <w:szCs w:val="26"/>
    </w:rPr>
  </w:style>
  <w:style w:type="character" w:customStyle="1" w:styleId="regparChar">
    <w:name w:val="regpar Char"/>
    <w:basedOn w:val="a0"/>
    <w:link w:val="regpar"/>
    <w:rsid w:val="0094738B"/>
    <w:rPr>
      <w:rFonts w:ascii="Times" w:hAnsi="Times" w:cs="Times"/>
      <w:sz w:val="24"/>
      <w:szCs w:val="24"/>
    </w:rPr>
  </w:style>
  <w:style w:type="character" w:customStyle="1" w:styleId="LetterheadBOIChar">
    <w:name w:val="Letterhead BOI Char"/>
    <w:basedOn w:val="regparChar"/>
    <w:link w:val="LetterheadBOI"/>
    <w:rsid w:val="0094738B"/>
    <w:rPr>
      <w:rFonts w:ascii="Times" w:hAnsi="Times" w:cs="David"/>
      <w:b/>
      <w:sz w:val="24"/>
      <w:szCs w:val="24"/>
    </w:rPr>
  </w:style>
  <w:style w:type="paragraph" w:customStyle="1" w:styleId="PressReleaseTitle">
    <w:name w:val="Press Release Title"/>
    <w:basedOn w:val="a"/>
    <w:link w:val="PressReleaseTitleChar"/>
    <w:qFormat/>
    <w:rsid w:val="0094738B"/>
    <w:pPr>
      <w:tabs>
        <w:tab w:val="center" w:pos="4156"/>
        <w:tab w:val="right" w:pos="8312"/>
      </w:tabs>
      <w:bidi w:val="0"/>
      <w:jc w:val="center"/>
    </w:pPr>
    <w:rPr>
      <w:rFonts w:cs="David"/>
      <w:b/>
      <w:bCs/>
      <w:sz w:val="26"/>
      <w:szCs w:val="26"/>
    </w:rPr>
  </w:style>
  <w:style w:type="character" w:customStyle="1" w:styleId="Letterhead2Char">
    <w:name w:val="Letterhead 2 Char"/>
    <w:basedOn w:val="regparChar"/>
    <w:link w:val="Letterhead2"/>
    <w:rsid w:val="0094738B"/>
    <w:rPr>
      <w:rFonts w:ascii="Times" w:hAnsi="Times" w:cs="Times"/>
      <w:sz w:val="26"/>
      <w:szCs w:val="26"/>
    </w:rPr>
  </w:style>
  <w:style w:type="paragraph" w:customStyle="1" w:styleId="Pressreleaseheading2">
    <w:name w:val="Press release heading 2"/>
    <w:basedOn w:val="PressReleaseTitle"/>
    <w:link w:val="Pressreleaseheading2Char"/>
    <w:qFormat/>
    <w:rsid w:val="0094738B"/>
    <w:rPr>
      <w:b w:val="0"/>
      <w:bCs w:val="0"/>
    </w:rPr>
  </w:style>
  <w:style w:type="character" w:customStyle="1" w:styleId="PressReleaseTitleChar">
    <w:name w:val="Press Release Title Char"/>
    <w:basedOn w:val="a0"/>
    <w:link w:val="PressReleaseTitle"/>
    <w:rsid w:val="0094738B"/>
    <w:rPr>
      <w:rFonts w:cs="David"/>
      <w:b/>
      <w:bCs/>
      <w:sz w:val="26"/>
      <w:szCs w:val="26"/>
    </w:rPr>
  </w:style>
  <w:style w:type="character" w:customStyle="1" w:styleId="Pressreleaseheading2Char">
    <w:name w:val="Press release heading 2 Char"/>
    <w:basedOn w:val="PressReleaseTitleChar"/>
    <w:link w:val="Pressreleaseheading2"/>
    <w:rsid w:val="0094738B"/>
    <w:rPr>
      <w:rFonts w:cs="David"/>
      <w:b w:val="0"/>
      <w:bCs w:val="0"/>
      <w:sz w:val="26"/>
      <w:szCs w:val="26"/>
    </w:rPr>
  </w:style>
  <w:style w:type="character" w:styleId="ae">
    <w:name w:val="annotation reference"/>
    <w:basedOn w:val="a0"/>
    <w:rsid w:val="00833AF3"/>
    <w:rPr>
      <w:sz w:val="16"/>
      <w:szCs w:val="16"/>
    </w:rPr>
  </w:style>
  <w:style w:type="paragraph" w:styleId="af">
    <w:name w:val="annotation text"/>
    <w:basedOn w:val="a"/>
    <w:link w:val="af0"/>
    <w:rsid w:val="00833AF3"/>
    <w:rPr>
      <w:sz w:val="20"/>
      <w:szCs w:val="20"/>
    </w:rPr>
  </w:style>
  <w:style w:type="character" w:customStyle="1" w:styleId="af0">
    <w:name w:val="טקסט הערה תו"/>
    <w:basedOn w:val="a0"/>
    <w:link w:val="af"/>
    <w:rsid w:val="00833AF3"/>
  </w:style>
  <w:style w:type="paragraph" w:styleId="af1">
    <w:name w:val="annotation subject"/>
    <w:basedOn w:val="af"/>
    <w:next w:val="af"/>
    <w:link w:val="af2"/>
    <w:rsid w:val="00833AF3"/>
    <w:rPr>
      <w:b/>
      <w:bCs/>
    </w:rPr>
  </w:style>
  <w:style w:type="character" w:customStyle="1" w:styleId="af2">
    <w:name w:val="נושא הערה תו"/>
    <w:basedOn w:val="af0"/>
    <w:link w:val="af1"/>
    <w:rsid w:val="00833AF3"/>
    <w:rPr>
      <w:b/>
      <w:bCs/>
    </w:rPr>
  </w:style>
  <w:style w:type="paragraph" w:customStyle="1" w:styleId="af3">
    <w:name w:val="כותרת לוח"/>
    <w:basedOn w:val="af4"/>
    <w:link w:val="af5"/>
    <w:qFormat/>
    <w:rsid w:val="00903E7A"/>
    <w:pPr>
      <w:pBdr>
        <w:bottom w:val="none" w:sz="0" w:space="0" w:color="auto"/>
      </w:pBdr>
      <w:spacing w:before="240" w:after="60"/>
      <w:contextualSpacing w:val="0"/>
      <w:jc w:val="center"/>
      <w:outlineLvl w:val="0"/>
    </w:pPr>
    <w:rPr>
      <w:rFonts w:cs="David"/>
      <w:b/>
      <w:bCs/>
      <w:sz w:val="24"/>
      <w:szCs w:val="24"/>
      <w:u w:val="single"/>
      <w:lang w:eastAsia="he-IL"/>
    </w:rPr>
  </w:style>
  <w:style w:type="character" w:customStyle="1" w:styleId="af5">
    <w:name w:val="כותרת לוח תו"/>
    <w:basedOn w:val="af6"/>
    <w:link w:val="af3"/>
    <w:rsid w:val="00903E7A"/>
    <w:rPr>
      <w:rFonts w:asciiTheme="majorHAnsi" w:eastAsiaTheme="majorEastAsia" w:hAnsiTheme="majorHAnsi" w:cs="David"/>
      <w:b/>
      <w:bCs/>
      <w:color w:val="17365D" w:themeColor="text2" w:themeShade="BF"/>
      <w:spacing w:val="5"/>
      <w:kern w:val="28"/>
      <w:sz w:val="24"/>
      <w:szCs w:val="24"/>
      <w:u w:val="single"/>
      <w:lang w:eastAsia="he-IL"/>
    </w:rPr>
  </w:style>
  <w:style w:type="paragraph" w:styleId="af4">
    <w:name w:val="Title"/>
    <w:basedOn w:val="a"/>
    <w:next w:val="a"/>
    <w:link w:val="af6"/>
    <w:qFormat/>
    <w:rsid w:val="00903E7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כותרת טקסט תו"/>
    <w:basedOn w:val="a0"/>
    <w:link w:val="af4"/>
    <w:rsid w:val="00903E7A"/>
    <w:rPr>
      <w:rFonts w:asciiTheme="majorHAnsi" w:eastAsiaTheme="majorEastAsia" w:hAnsiTheme="majorHAnsi" w:cstheme="majorBidi"/>
      <w:color w:val="17365D" w:themeColor="text2" w:themeShade="BF"/>
      <w:spacing w:val="5"/>
      <w:kern w:val="28"/>
      <w:sz w:val="52"/>
      <w:szCs w:val="52"/>
    </w:rPr>
  </w:style>
  <w:style w:type="paragraph" w:styleId="af7">
    <w:name w:val="caption"/>
    <w:basedOn w:val="a"/>
    <w:next w:val="a"/>
    <w:unhideWhenUsed/>
    <w:qFormat/>
    <w:rsid w:val="006657CF"/>
    <w:pPr>
      <w:spacing w:after="200"/>
    </w:pPr>
    <w:rPr>
      <w:i/>
      <w:iCs/>
      <w:color w:val="1F497D" w:themeColor="text2"/>
      <w:sz w:val="18"/>
      <w:szCs w:val="18"/>
    </w:rPr>
  </w:style>
  <w:style w:type="paragraph" w:styleId="af8">
    <w:name w:val="endnote text"/>
    <w:basedOn w:val="a"/>
    <w:link w:val="af9"/>
    <w:semiHidden/>
    <w:unhideWhenUsed/>
    <w:rsid w:val="00427D78"/>
    <w:rPr>
      <w:sz w:val="20"/>
      <w:szCs w:val="20"/>
    </w:rPr>
  </w:style>
  <w:style w:type="character" w:customStyle="1" w:styleId="af9">
    <w:name w:val="טקסט הערת סיום תו"/>
    <w:basedOn w:val="a0"/>
    <w:link w:val="af8"/>
    <w:semiHidden/>
    <w:rsid w:val="00427D78"/>
  </w:style>
  <w:style w:type="character" w:styleId="afa">
    <w:name w:val="endnote reference"/>
    <w:basedOn w:val="a0"/>
    <w:semiHidden/>
    <w:unhideWhenUsed/>
    <w:rsid w:val="00427D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boi.org.il/he/NewsAndPublications/PressReleases/Pages/25-3-21.aspx?fireglass_rsn=tru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customXml" Target="../customXml/item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boi.org.il/en/NewsAndPublications/PressReleases/Pages/25-3-21.asp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WaveListOrderValue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dc66967819e61477bbb22baefbd46658">
  <xsd:schema xmlns:xsd="http://www.w3.org/2001/XMLSchema" xmlns:xs="http://www.w3.org/2001/XMLSchema" xmlns:p="http://schemas.microsoft.com/office/2006/metadata/properties" xmlns:ns1="http://schemas.microsoft.com/sharepoint/v3" targetNamespace="http://schemas.microsoft.com/office/2006/metadata/properties" ma:root="true" ma:fieldsID="ea2d015b092b9b034dac7bb82bea7adc"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9E5779-D43C-45FC-95B3-99BD8F698F5B}"/>
</file>

<file path=customXml/itemProps2.xml><?xml version="1.0" encoding="utf-8"?>
<ds:datastoreItem xmlns:ds="http://schemas.openxmlformats.org/officeDocument/2006/customXml" ds:itemID="{697C7149-6459-4498-9420-6CB8BC4A3DFE}"/>
</file>

<file path=customXml/itemProps3.xml><?xml version="1.0" encoding="utf-8"?>
<ds:datastoreItem xmlns:ds="http://schemas.openxmlformats.org/officeDocument/2006/customXml" ds:itemID="{71EA7B39-8556-4422-9D09-2D804A65D9FB}"/>
</file>

<file path=customXml/itemProps4.xml><?xml version="1.0" encoding="utf-8"?>
<ds:datastoreItem xmlns:ds="http://schemas.openxmlformats.org/officeDocument/2006/customXml" ds:itemID="{9B809E66-5311-4C96-99DB-7A791FB6C30F}"/>
</file>

<file path=docProps/app.xml><?xml version="1.0" encoding="utf-8"?>
<Properties xmlns="http://schemas.openxmlformats.org/officeDocument/2006/extended-properties" xmlns:vt="http://schemas.openxmlformats.org/officeDocument/2006/docPropsVTypes">
  <Template>Normal</Template>
  <TotalTime>0</TotalTime>
  <Pages>5</Pages>
  <Words>1223</Words>
  <Characters>6115</Characters>
  <Application>Microsoft Office Word</Application>
  <DocSecurity>0</DocSecurity>
  <Lines>50</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7324</CharactersWithSpaces>
  <SharedDoc>false</SharedDoc>
  <HLinks>
    <vt:vector size="6" baseType="variant">
      <vt:variant>
        <vt:i4>4980745</vt:i4>
      </vt:variant>
      <vt:variant>
        <vt:i4>0</vt:i4>
      </vt:variant>
      <vt:variant>
        <vt:i4>0</vt:i4>
      </vt:variant>
      <vt:variant>
        <vt:i4>5</vt:i4>
      </vt:variant>
      <vt:variant>
        <vt:lpwstr>http://www.boi.org.il/en/Research/Pages/ind.aspx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2021-06-27T10:30:00Z</dcterms:created>
  <dcterms:modified xsi:type="dcterms:W3CDTF">2021-06-27T10:30:00Z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-942432555</vt:i4>
  </property>
  <property fmtid="{D5CDD505-2E9C-101B-9397-08002B2CF9AE}" pid="3" name="_NewReviewCycle">
    <vt:lpwstr/>
  </property>
  <property fmtid="{D5CDD505-2E9C-101B-9397-08002B2CF9AE}" pid="4" name="_ReviewingToolsShownOnce">
    <vt:lpwstr/>
  </property>
  <property fmtid="{D5CDD505-2E9C-101B-9397-08002B2CF9AE}" pid="5" name="ContentTypeId">
    <vt:lpwstr>0x010100BEE9343D4987C6478DC1BE6EDC107D2A</vt:lpwstr>
  </property>
</Properties>
</file>