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D0" w:rsidRPr="00545ACA" w:rsidRDefault="00331AD0" w:rsidP="00EA2621">
      <w:pPr>
        <w:spacing w:before="120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267752" w:rsidTr="00E13DF9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AD0" w:rsidRPr="00545ACA" w:rsidRDefault="00CD635A" w:rsidP="00E13DF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45ACA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331AD0" w:rsidRPr="00545ACA" w:rsidRDefault="00CD635A" w:rsidP="00E13DF9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45ACA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31AD0" w:rsidRPr="00545ACA" w:rsidRDefault="00CD635A" w:rsidP="00E13DF9">
            <w:pPr>
              <w:jc w:val="center"/>
              <w:rPr>
                <w:rFonts w:asciiTheme="minorBidi" w:hAnsiTheme="minorBidi" w:cstheme="minorBidi"/>
              </w:rPr>
            </w:pPr>
            <w:r w:rsidRPr="00545ACA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1AD0" w:rsidRPr="00545ACA" w:rsidRDefault="00CD635A" w:rsidP="00E13DF9">
            <w:pPr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545ACA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545ACA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545ACA">
              <w:rPr>
                <w:rFonts w:asciiTheme="minorBidi" w:hAnsiTheme="minorBidi" w:cstheme="minorBidi"/>
                <w:rtl/>
              </w:rPr>
              <w:fldChar w:fldCharType="begin"/>
            </w:r>
            <w:r w:rsidRPr="00545AC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545ACA">
              <w:rPr>
                <w:rFonts w:asciiTheme="minorBidi" w:hAnsiTheme="minorBidi" w:cstheme="minorBidi"/>
              </w:rPr>
              <w:instrText>DATE</w:instrText>
            </w:r>
            <w:r w:rsidRPr="00545AC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545ACA">
              <w:rPr>
                <w:rFonts w:asciiTheme="minorBidi" w:hAnsiTheme="minorBidi" w:cstheme="minorBidi"/>
              </w:rPr>
              <w:instrText>d MMMM, yyyy" \h</w:instrText>
            </w:r>
            <w:r w:rsidRPr="00545AC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545AC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‏ט"ז סיון, תשפ"ו</w:t>
            </w:r>
            <w:r w:rsidRPr="00545ACA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331AD0" w:rsidRPr="00545ACA" w:rsidRDefault="00CD635A" w:rsidP="00E13DF9">
            <w:pPr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545ACA">
              <w:rPr>
                <w:rFonts w:asciiTheme="minorBidi" w:hAnsiTheme="minorBidi" w:cstheme="minorBidi"/>
                <w:rtl/>
              </w:rPr>
              <w:fldChar w:fldCharType="begin"/>
            </w:r>
            <w:r w:rsidRPr="00545AC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545ACA">
              <w:rPr>
                <w:rFonts w:asciiTheme="minorBidi" w:hAnsiTheme="minorBidi" w:cstheme="minorBidi"/>
              </w:rPr>
              <w:instrText>DATE</w:instrText>
            </w:r>
            <w:r w:rsidRPr="00545AC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545ACA">
              <w:rPr>
                <w:rFonts w:asciiTheme="minorBidi" w:hAnsiTheme="minorBidi" w:cstheme="minorBidi"/>
              </w:rPr>
              <w:instrText>d MMMM, yyyy</w:instrText>
            </w:r>
            <w:r w:rsidRPr="00545ACA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545AC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 יוני, 2026</w:t>
            </w:r>
            <w:r w:rsidRPr="00545ACA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331AD0" w:rsidRPr="00545ACA" w:rsidRDefault="00CD635A" w:rsidP="00331AD0">
      <w:pPr>
        <w:spacing w:before="120"/>
        <w:jc w:val="left"/>
        <w:rPr>
          <w:rFonts w:asciiTheme="minorBidi" w:hAnsiTheme="minorBidi" w:cstheme="minorBidi"/>
          <w:sz w:val="22"/>
          <w:szCs w:val="22"/>
          <w:rtl/>
          <w:lang w:bidi="ar-SA"/>
        </w:rPr>
      </w:pPr>
      <w:r>
        <w:rPr>
          <w:rFonts w:asciiTheme="minorBidi" w:hAnsiTheme="minorBidi" w:cstheme="minorBidi" w:hint="cs"/>
          <w:sz w:val="22"/>
          <w:szCs w:val="22"/>
          <w:rtl/>
          <w:lang w:bidi="ar-SA"/>
        </w:rPr>
        <w:t>بيان صحفي:</w:t>
      </w:r>
    </w:p>
    <w:p w:rsidR="00545ACA" w:rsidRPr="00545ACA" w:rsidRDefault="00CD635A" w:rsidP="00EF577A">
      <w:pPr>
        <w:spacing w:before="120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545ACA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موقف بنك إسرائيل بشأن إعلان مفوض</w:t>
      </w:r>
      <w:r w:rsidR="00CE384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ة</w:t>
      </w:r>
      <w:r w:rsidRPr="00545ACA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المنافسة </w:t>
      </w:r>
      <w:r w:rsidR="00EF577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عن</w:t>
      </w:r>
      <w:r w:rsidRPr="00545ACA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المجموعات المصرفية </w:t>
      </w:r>
      <w:r w:rsidR="00EF577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ك</w:t>
      </w:r>
      <w:r w:rsidRPr="00545ACA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مجموع</w:t>
      </w:r>
      <w:r w:rsidR="00EF577A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ات</w:t>
      </w:r>
      <w:r w:rsidRPr="00545ACA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احتكارية و</w:t>
      </w:r>
      <w:r w:rsidR="00EF577A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>إصدار التوجيهات في مجال الودائع</w:t>
      </w:r>
    </w:p>
    <w:p w:rsidR="00545ACA" w:rsidRPr="00545ACA" w:rsidRDefault="00CD635A" w:rsidP="00CE384A">
      <w:pPr>
        <w:spacing w:before="240"/>
        <w:rPr>
          <w:rStyle w:val="ng-star-inserted"/>
          <w:rFonts w:asciiTheme="minorBidi" w:hAnsiTheme="minorBidi" w:cstheme="minorBidi"/>
          <w:shd w:val="clear" w:color="auto" w:fill="FFFFFF"/>
          <w:rtl/>
        </w:rPr>
      </w:pPr>
      <w:r w:rsidRPr="00545ACA">
        <w:rPr>
          <w:rStyle w:val="ng-star-inserted"/>
          <w:rFonts w:asciiTheme="minorBidi" w:hAnsiTheme="minorBidi" w:cs="Arial"/>
          <w:shd w:val="clear" w:color="auto" w:fill="FFFFFF"/>
          <w:rtl/>
          <w:lang w:bidi="ar-SA"/>
        </w:rPr>
        <w:t xml:space="preserve">يُولي بنك إسرائيل </w:t>
      </w:r>
      <w:r w:rsidRPr="00EF577A">
        <w:rPr>
          <w:rStyle w:val="ng-star-inserted"/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أهمية بالغة لتعزيز المنافسة والنزاهة في النظام المالي، وقد </w:t>
      </w:r>
      <w:r w:rsidR="00CE384A">
        <w:rPr>
          <w:rStyle w:val="ng-star-inserted"/>
          <w:rFonts w:asciiTheme="minorBidi" w:hAnsiTheme="minorBidi" w:cs="Arial" w:hint="cs"/>
          <w:b/>
          <w:bCs/>
          <w:shd w:val="clear" w:color="auto" w:fill="FFFFFF"/>
          <w:rtl/>
          <w:lang w:bidi="ar-SA"/>
        </w:rPr>
        <w:t>عمل</w:t>
      </w:r>
      <w:r w:rsidRPr="00EF577A">
        <w:rPr>
          <w:rStyle w:val="ng-star-inserted"/>
          <w:rFonts w:asciiTheme="minorBidi" w:hAnsiTheme="minorBidi" w:cs="Arial"/>
          <w:b/>
          <w:bCs/>
          <w:shd w:val="clear" w:color="auto" w:fill="FFFFFF"/>
          <w:rtl/>
          <w:lang w:bidi="ar-SA"/>
        </w:rPr>
        <w:t xml:space="preserve"> على مر السنين على إدخال إصلاحات جوهرية في هذا المجال</w:t>
      </w:r>
      <w:r w:rsidRPr="00545ACA">
        <w:rPr>
          <w:rStyle w:val="ng-star-inserted"/>
          <w:rFonts w:asciiTheme="minorBidi" w:hAnsiTheme="minorBidi" w:cs="Arial"/>
          <w:shd w:val="clear" w:color="auto" w:fill="FFFFFF"/>
          <w:rtl/>
          <w:lang w:bidi="ar-SA"/>
        </w:rPr>
        <w:t xml:space="preserve">. تهدف هذه الإصلاحات من بين أمور أخرى إلى تعزيز </w:t>
      </w:r>
      <w:r w:rsidR="00EF577A">
        <w:rPr>
          <w:rStyle w:val="ng-star-inserted"/>
          <w:rFonts w:asciiTheme="minorBidi" w:hAnsiTheme="minorBidi" w:cs="Arial" w:hint="cs"/>
          <w:shd w:val="clear" w:color="auto" w:fill="FFFFFF"/>
          <w:rtl/>
          <w:lang w:bidi="ar-SA"/>
        </w:rPr>
        <w:t>موقف</w:t>
      </w:r>
      <w:r w:rsidRPr="00545ACA">
        <w:rPr>
          <w:rStyle w:val="ng-star-inserted"/>
          <w:rFonts w:asciiTheme="minorBidi" w:hAnsiTheme="minorBidi" w:cs="Arial"/>
          <w:shd w:val="clear" w:color="auto" w:fill="FFFFFF"/>
          <w:rtl/>
          <w:lang w:bidi="ar-SA"/>
        </w:rPr>
        <w:t xml:space="preserve"> المستهلك </w:t>
      </w:r>
      <w:r w:rsidR="00EF577A">
        <w:rPr>
          <w:rStyle w:val="ng-star-inserted"/>
          <w:rFonts w:asciiTheme="minorBidi" w:hAnsiTheme="minorBidi" w:cs="Arial" w:hint="cs"/>
          <w:shd w:val="clear" w:color="auto" w:fill="FFFFFF"/>
          <w:rtl/>
          <w:lang w:bidi="ar-SA"/>
        </w:rPr>
        <w:t>أمام</w:t>
      </w:r>
      <w:r w:rsidRPr="00545ACA">
        <w:rPr>
          <w:rStyle w:val="ng-star-inserted"/>
          <w:rFonts w:asciiTheme="minorBidi" w:hAnsiTheme="minorBidi" w:cs="Arial"/>
          <w:shd w:val="clear" w:color="auto" w:fill="FFFFFF"/>
          <w:rtl/>
          <w:lang w:bidi="ar-SA"/>
        </w:rPr>
        <w:t xml:space="preserve"> البنوك، وزيادة الشفافية، وتسهيل الانتقال بين البنوك، وتحفيز </w:t>
      </w:r>
      <w:r w:rsidR="00EF577A">
        <w:rPr>
          <w:rStyle w:val="ng-star-inserted"/>
          <w:rFonts w:asciiTheme="minorBidi" w:hAnsiTheme="minorBidi" w:cs="Arial" w:hint="cs"/>
          <w:shd w:val="clear" w:color="auto" w:fill="FFFFFF"/>
          <w:rtl/>
          <w:lang w:bidi="ar-SA"/>
        </w:rPr>
        <w:t>هيئات</w:t>
      </w:r>
      <w:r w:rsidR="00EF577A">
        <w:rPr>
          <w:rStyle w:val="ng-star-inserted"/>
          <w:rFonts w:asciiTheme="minorBidi" w:hAnsiTheme="minorBidi" w:cs="Arial"/>
          <w:shd w:val="clear" w:color="auto" w:fill="FFFFFF"/>
          <w:rtl/>
          <w:lang w:bidi="ar-SA"/>
        </w:rPr>
        <w:t xml:space="preserve"> </w:t>
      </w:r>
      <w:r w:rsidRPr="00545ACA">
        <w:rPr>
          <w:rStyle w:val="ng-star-inserted"/>
          <w:rFonts w:asciiTheme="minorBidi" w:hAnsiTheme="minorBidi" w:cs="Arial"/>
          <w:shd w:val="clear" w:color="auto" w:fill="FFFFFF"/>
          <w:rtl/>
          <w:lang w:bidi="ar-SA"/>
        </w:rPr>
        <w:t>جديدة على دخول القطاع المصرفي. كل ذلك مع الاستمرار في حماية أموال المودعين واستقرار النظام المصرفي.</w:t>
      </w:r>
    </w:p>
    <w:p w:rsidR="00545ACA" w:rsidRPr="00545ACA" w:rsidRDefault="00CD635A" w:rsidP="00CE384A">
      <w:pPr>
        <w:spacing w:before="240"/>
        <w:rPr>
          <w:rStyle w:val="ng-star-inserted"/>
          <w:rFonts w:asciiTheme="minorBidi" w:hAnsiTheme="minorBidi" w:cstheme="minorBidi"/>
          <w:rtl/>
        </w:rPr>
      </w:pPr>
      <w:r w:rsidRPr="00545ACA">
        <w:rPr>
          <w:rStyle w:val="ng-star-inserted"/>
          <w:rFonts w:asciiTheme="minorBidi" w:hAnsiTheme="minorBidi" w:cs="Arial"/>
          <w:rtl/>
          <w:lang w:bidi="ar-SA"/>
        </w:rPr>
        <w:t>عقب إعلان مفوض</w:t>
      </w:r>
      <w:r w:rsidR="00CE384A">
        <w:rPr>
          <w:rStyle w:val="ng-star-inserted"/>
          <w:rFonts w:asciiTheme="minorBidi" w:hAnsiTheme="minorBidi" w:cs="Arial" w:hint="cs"/>
          <w:rtl/>
          <w:lang w:bidi="ar-SA"/>
        </w:rPr>
        <w:t>ة</w:t>
      </w:r>
      <w:r w:rsidRPr="00545ACA">
        <w:rPr>
          <w:rStyle w:val="ng-star-inserted"/>
          <w:rFonts w:asciiTheme="minorBidi" w:hAnsiTheme="minorBidi" w:cs="Arial"/>
          <w:rtl/>
          <w:lang w:bidi="ar-SA"/>
        </w:rPr>
        <w:t xml:space="preserve"> المنافسة تصنيف أكبر خمس مجموعات مصرفية كمجموع</w:t>
      </w:r>
      <w:r w:rsidR="00EF577A">
        <w:rPr>
          <w:rStyle w:val="ng-star-inserted"/>
          <w:rFonts w:asciiTheme="minorBidi" w:hAnsiTheme="minorBidi" w:cs="Arial" w:hint="cs"/>
          <w:rtl/>
          <w:lang w:bidi="ar-SA"/>
        </w:rPr>
        <w:t>ات</w:t>
      </w:r>
      <w:r w:rsidRPr="00545ACA">
        <w:rPr>
          <w:rStyle w:val="ng-star-inserted"/>
          <w:rFonts w:asciiTheme="minorBidi" w:hAnsiTheme="minorBidi" w:cs="Arial"/>
          <w:rtl/>
          <w:lang w:bidi="ar-SA"/>
        </w:rPr>
        <w:t xml:space="preserve"> احتكارية، وإصدار توجيهات</w:t>
      </w:r>
      <w:r w:rsidR="00CE384A">
        <w:rPr>
          <w:rStyle w:val="ng-star-inserted"/>
          <w:rFonts w:asciiTheme="minorBidi" w:hAnsiTheme="minorBidi" w:cs="Arial" w:hint="cs"/>
          <w:rtl/>
          <w:lang w:bidi="ar-SA"/>
        </w:rPr>
        <w:t>ها</w:t>
      </w:r>
      <w:r w:rsidRPr="00545ACA">
        <w:rPr>
          <w:rStyle w:val="ng-star-inserted"/>
          <w:rFonts w:asciiTheme="minorBidi" w:hAnsiTheme="minorBidi" w:cs="Arial"/>
          <w:rtl/>
          <w:lang w:bidi="ar-SA"/>
        </w:rPr>
        <w:t xml:space="preserve"> في مجال الودائع (يُشار إليها فيما يلي بـ"التوجيهات")، </w:t>
      </w:r>
      <w:bookmarkStart w:id="0" w:name="_GoBack"/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>يرى بنك إسرائيل أن تصنيف هذه البنوك كمجموع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ات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احتكارية في ظل هذه الظروف 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يعتبر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إجراءً متطرفاً وغير متناسب قد يُثني المستثمرين عن العمل في إسرائيل</w:t>
      </w:r>
      <w:r w:rsidR="00CE384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 من ناحية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>، و</w:t>
      </w:r>
      <w:r w:rsidR="00CE384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من ناحية أخرى 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لن يسهم 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بأي شكل من الأشكال في تحسين رفاهية 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زبائن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هذه البنوك. يعود ذلك تحديداً إلى أن معظم التوجيهات المصاحبة للإعلان قد تم تطبيقها 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فعلياً</w:t>
      </w:r>
      <w:r w:rsidR="00EF577A"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من قِبل 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هيئة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الرقابة 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على البنوك</w:t>
      </w:r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في بنك إسرائيل في إطار الإصلاحات الهيكلية التي قادها</w:t>
      </w:r>
      <w:r w:rsidR="00EF577A" w:rsidRPr="00EF577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 البنك</w:t>
      </w:r>
      <w:bookmarkEnd w:id="0"/>
      <w:r w:rsidRPr="00EF577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، </w:t>
      </w:r>
      <w:r w:rsidRPr="00545ACA">
        <w:rPr>
          <w:rStyle w:val="ng-star-inserted"/>
          <w:rFonts w:asciiTheme="minorBidi" w:hAnsiTheme="minorBidi" w:cs="Arial"/>
          <w:rtl/>
          <w:lang w:bidi="ar-SA"/>
        </w:rPr>
        <w:t>ومنها:</w:t>
      </w:r>
    </w:p>
    <w:p w:rsidR="00545ACA" w:rsidRPr="00545ACA" w:rsidRDefault="00CD635A" w:rsidP="00CE384A">
      <w:pPr>
        <w:pStyle w:val="ListParagraph"/>
        <w:numPr>
          <w:ilvl w:val="0"/>
          <w:numId w:val="20"/>
        </w:numPr>
        <w:spacing w:before="120" w:line="360" w:lineRule="auto"/>
        <w:rPr>
          <w:rStyle w:val="ng-star-inserted"/>
          <w:rFonts w:asciiTheme="minorBidi" w:hAnsiTheme="minorBidi"/>
          <w:sz w:val="24"/>
          <w:szCs w:val="24"/>
          <w:rtl/>
        </w:rPr>
      </w:pPr>
      <w:r w:rsidRPr="00E04CF3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>يُنظّم التوجيه رقم 447 بشأن</w:t>
      </w:r>
      <w:r w:rsidRPr="00E04CF3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 xml:space="preserve"> الإدارة المصرفية السليمة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، والمتعلق بموضوع "نشر أسعار الفائدة على الودائع وأرصدة الحساب"، الالتزام بنشر معلومات مركزة ومقارنة حول الودائع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الشائعة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، بما في ذلك آليات البحث والمقارنة، وهذا الالتزام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مُطبق فعلياً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45ACA" w:rsidRPr="00545ACA" w:rsidRDefault="00CD635A" w:rsidP="00E04CF3">
      <w:pPr>
        <w:pStyle w:val="ListParagraph"/>
        <w:numPr>
          <w:ilvl w:val="0"/>
          <w:numId w:val="20"/>
        </w:numPr>
        <w:spacing w:before="120" w:after="0" w:line="360" w:lineRule="auto"/>
        <w:contextualSpacing w:val="0"/>
        <w:jc w:val="both"/>
        <w:rPr>
          <w:rStyle w:val="ng-star-inserted"/>
          <w:rFonts w:asciiTheme="minorBidi" w:hAnsiTheme="minorBidi"/>
          <w:sz w:val="24"/>
          <w:szCs w:val="24"/>
        </w:rPr>
      </w:pP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يُنظّم التوجيه رقم </w:t>
      </w:r>
      <w:r w:rsidR="00E04CF3" w:rsidRPr="00545ACA">
        <w:rPr>
          <w:rStyle w:val="ng-star-inserted"/>
          <w:rFonts w:asciiTheme="minorBidi" w:hAnsiTheme="minorBidi"/>
          <w:sz w:val="24"/>
          <w:szCs w:val="24"/>
        </w:rPr>
        <w:t>447A</w:t>
      </w:r>
      <w:r w:rsidR="00E04CF3" w:rsidRPr="00545ACA">
        <w:rPr>
          <w:rStyle w:val="ng-star-inserted"/>
          <w:rFonts w:asciiTheme="minorBidi" w:hAnsiTheme="minorBidi"/>
          <w:sz w:val="24"/>
          <w:szCs w:val="24"/>
          <w:rtl/>
        </w:rPr>
        <w:t xml:space="preserve"> 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بشأن الإدارة المصرفية 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السليمة، وا</w:t>
      </w:r>
      <w:r w:rsidR="00E04CF3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لمتعلق بموضوع "نشر معلومات مركز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ة حول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الصناديق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والقروض قصير الأجل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"، الالتزام بتقديم معلومات حول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الصناديق المالية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، وهذا الالتزام </w:t>
      </w:r>
      <w:r w:rsidR="00E04CF3"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مُطبق فعلياً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45ACA" w:rsidRPr="00545ACA" w:rsidRDefault="00CD635A" w:rsidP="00E04CF3">
      <w:pPr>
        <w:pStyle w:val="ListParagraph"/>
        <w:numPr>
          <w:ilvl w:val="0"/>
          <w:numId w:val="20"/>
        </w:numPr>
        <w:spacing w:before="120" w:after="0" w:line="360" w:lineRule="auto"/>
        <w:contextualSpacing w:val="0"/>
        <w:jc w:val="both"/>
        <w:rPr>
          <w:rStyle w:val="ng-star-inserted"/>
          <w:rFonts w:asciiTheme="minorBidi" w:hAnsiTheme="minorBidi"/>
          <w:sz w:val="24"/>
          <w:szCs w:val="24"/>
        </w:rPr>
      </w:pPr>
      <w:r w:rsidRPr="00E04CF3">
        <w:rPr>
          <w:rStyle w:val="ng-star-inserted"/>
          <w:rFonts w:asciiTheme="minorBidi" w:hAnsiTheme="minorBidi" w:cs="Arial" w:hint="cs"/>
          <w:sz w:val="24"/>
          <w:szCs w:val="24"/>
          <w:u w:val="single"/>
          <w:rtl/>
          <w:lang w:bidi="ar-SA"/>
        </w:rPr>
        <w:t xml:space="preserve">ينظم توجيه </w:t>
      </w:r>
      <w:r w:rsidRPr="00E04CF3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>الإدارة المصرفية السليمة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رقم 417 بشأن موضوع "أنشطة المؤسسة المصرفية في 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نظام 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ال</w:t>
      </w:r>
      <w:r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مغلق"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إمكانية ف</w:t>
      </w:r>
      <w:r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تح وإدارة الودائع بدون حساب جار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، بالإضافة إلى تسهيل تحويل الأموال بين البنوك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.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بعد نقاش عام حول هذا الموضوع شاركت فيه 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سلطة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المنافسة أيض</w:t>
      </w:r>
      <w:r w:rsidR="00CE384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>اً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، </w:t>
      </w:r>
      <w:r w:rsidRPr="00CE384A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 xml:space="preserve">دخل </w:t>
      </w:r>
      <w:r w:rsidRPr="00CE384A">
        <w:rPr>
          <w:rStyle w:val="ng-star-inserted"/>
          <w:rFonts w:asciiTheme="minorBidi" w:hAnsiTheme="minorBidi" w:cs="Arial" w:hint="cs"/>
          <w:sz w:val="24"/>
          <w:szCs w:val="24"/>
          <w:u w:val="single"/>
          <w:rtl/>
          <w:lang w:bidi="ar-SA"/>
        </w:rPr>
        <w:t>البند</w:t>
      </w:r>
      <w:r w:rsidRPr="00CE384A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 xml:space="preserve"> 5ب2 من قانون </w:t>
      </w:r>
      <w:r w:rsidRPr="00CE384A">
        <w:rPr>
          <w:rStyle w:val="ng-star-inserted"/>
          <w:rFonts w:asciiTheme="minorBidi" w:hAnsiTheme="minorBidi" w:cs="Arial" w:hint="cs"/>
          <w:sz w:val="24"/>
          <w:szCs w:val="24"/>
          <w:u w:val="single"/>
          <w:rtl/>
          <w:lang w:bidi="ar-SA"/>
        </w:rPr>
        <w:t>التعاملات المصرفية</w:t>
      </w:r>
      <w:r w:rsidRPr="00CE384A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 xml:space="preserve"> (خدمة </w:t>
      </w:r>
      <w:r w:rsidRPr="00CE384A">
        <w:rPr>
          <w:rStyle w:val="ng-star-inserted"/>
          <w:rFonts w:asciiTheme="minorBidi" w:hAnsiTheme="minorBidi" w:cs="Arial" w:hint="cs"/>
          <w:sz w:val="24"/>
          <w:szCs w:val="24"/>
          <w:u w:val="single"/>
          <w:rtl/>
          <w:lang w:bidi="ar-SA"/>
        </w:rPr>
        <w:t>الزبائن</w:t>
      </w:r>
      <w:r w:rsidRPr="00CE384A">
        <w:rPr>
          <w:rStyle w:val="ng-star-inserted"/>
          <w:rFonts w:asciiTheme="minorBidi" w:hAnsiTheme="minorBidi" w:cs="Arial"/>
          <w:sz w:val="24"/>
          <w:szCs w:val="24"/>
          <w:u w:val="single"/>
          <w:rtl/>
          <w:lang w:bidi="ar-SA"/>
        </w:rPr>
        <w:t>) حيز التنفيذ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فيما يتعلق بـ "إيداع الأموال في نظام م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غلق - تحويل الودائع"، والذي يلزم البنوك بالسماح </w:t>
      </w:r>
      <w:r>
        <w:rPr>
          <w:rStyle w:val="ng-star-inserted"/>
          <w:rFonts w:asciiTheme="minorBidi" w:hAnsiTheme="minorBidi" w:cs="Arial" w:hint="cs"/>
          <w:sz w:val="24"/>
          <w:szCs w:val="24"/>
          <w:rtl/>
          <w:lang w:bidi="ar-SA"/>
        </w:rPr>
        <w:t>للزبائن</w:t>
      </w:r>
      <w:r w:rsidRPr="00545ACA">
        <w:rPr>
          <w:rStyle w:val="ng-star-inserted"/>
          <w:rFonts w:asciiTheme="minorBidi" w:hAnsiTheme="minorBidi" w:cs="Arial"/>
          <w:sz w:val="24"/>
          <w:szCs w:val="24"/>
          <w:rtl/>
          <w:lang w:bidi="ar-SA"/>
        </w:rPr>
        <w:t xml:space="preserve"> بإيداع الودائع في نظام مغلق؛</w:t>
      </w:r>
    </w:p>
    <w:p w:rsidR="00545ACA" w:rsidRPr="00545ACA" w:rsidRDefault="00CD635A" w:rsidP="00CE384A">
      <w:pPr>
        <w:spacing w:before="240"/>
        <w:rPr>
          <w:rStyle w:val="ng-star-inserted"/>
          <w:rFonts w:asciiTheme="minorBidi" w:hAnsiTheme="minorBidi" w:cstheme="minorBidi"/>
          <w:b/>
          <w:bCs/>
          <w:rtl/>
        </w:rPr>
      </w:pP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في ظل هذه الظروف، </w:t>
      </w:r>
      <w:r w:rsidR="00E04CF3" w:rsidRPr="00E04CF3">
        <w:rPr>
          <w:rStyle w:val="ng-star-inserted"/>
          <w:rFonts w:asciiTheme="minorBidi" w:hAnsiTheme="minorBidi" w:cs="Arial" w:hint="cs"/>
          <w:rtl/>
          <w:lang w:bidi="ar-SA"/>
        </w:rPr>
        <w:t>يشكل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 الإعلان </w:t>
      </w:r>
      <w:r w:rsidR="00CE384A">
        <w:rPr>
          <w:rStyle w:val="ng-star-inserted"/>
          <w:rFonts w:asciiTheme="minorBidi" w:hAnsiTheme="minorBidi" w:cs="Arial" w:hint="cs"/>
          <w:rtl/>
          <w:lang w:bidi="ar-SA"/>
        </w:rPr>
        <w:t>والتوجيهات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 </w:t>
      </w:r>
      <w:r w:rsidR="00E04CF3" w:rsidRPr="00E04CF3">
        <w:rPr>
          <w:rStyle w:val="ng-star-inserted"/>
          <w:rFonts w:asciiTheme="minorBidi" w:hAnsiTheme="minorBidi" w:cs="Arial" w:hint="cs"/>
          <w:rtl/>
          <w:lang w:bidi="ar-SA"/>
        </w:rPr>
        <w:t>المرفقة به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</w:t>
      </w:r>
      <w:r w:rsidR="00E04CF3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مجرد تصريح إعلامي </w:t>
      </w:r>
      <w:r w:rsidR="00CE384A">
        <w:rPr>
          <w:rStyle w:val="ng-star-inserted"/>
          <w:rFonts w:asciiTheme="minorBidi" w:hAnsiTheme="minorBidi" w:cs="Arial" w:hint="cs"/>
          <w:rtl/>
          <w:lang w:bidi="ar-SA"/>
        </w:rPr>
        <w:t>يزعزع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 </w:t>
      </w:r>
      <w:r w:rsidR="00E04CF3" w:rsidRPr="00E04CF3">
        <w:rPr>
          <w:rStyle w:val="ng-star-inserted"/>
          <w:rFonts w:asciiTheme="minorBidi" w:hAnsiTheme="minorBidi" w:cs="Arial" w:hint="cs"/>
          <w:rtl/>
          <w:lang w:bidi="ar-SA"/>
        </w:rPr>
        <w:t xml:space="preserve">الثقة </w:t>
      </w:r>
      <w:r w:rsidR="00CE384A">
        <w:rPr>
          <w:rStyle w:val="ng-star-inserted"/>
          <w:rFonts w:asciiTheme="minorBidi" w:hAnsiTheme="minorBidi" w:cs="Arial" w:hint="cs"/>
          <w:rtl/>
          <w:lang w:bidi="ar-SA"/>
        </w:rPr>
        <w:t xml:space="preserve">في </w:t>
      </w:r>
      <w:r w:rsidR="00E04CF3" w:rsidRPr="00E04CF3">
        <w:rPr>
          <w:rStyle w:val="ng-star-inserted"/>
          <w:rFonts w:asciiTheme="minorBidi" w:hAnsiTheme="minorBidi" w:cs="Arial" w:hint="cs"/>
          <w:rtl/>
          <w:lang w:bidi="ar-SA"/>
        </w:rPr>
        <w:t>التنظيمات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 في الاقتصاد الإسرائيلي، وبالتالي قد يثني المستثمرين عن العمل في إسرائيل،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دون تحقيق أي فائدة تنافسية.</w:t>
      </w:r>
    </w:p>
    <w:p w:rsidR="00545ACA" w:rsidRPr="00545ACA" w:rsidRDefault="00CD635A" w:rsidP="00CE384A">
      <w:pPr>
        <w:spacing w:before="240"/>
        <w:rPr>
          <w:rStyle w:val="ng-star-inserted"/>
          <w:rFonts w:asciiTheme="minorBidi" w:hAnsiTheme="minorBidi" w:cstheme="minorBidi"/>
          <w:b/>
          <w:bCs/>
          <w:rtl/>
        </w:rPr>
      </w:pP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lastRenderedPageBreak/>
        <w:t xml:space="preserve">يؤمن بنك إسرائيل بأن أفضل طريقة لتعزيز رفاهية المستهلك هي إزالة العوائق وزيادة الشفافية. 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بناءً على ذلك، اتخذ بنك إسرائيل </w:t>
      </w:r>
      <w:r w:rsidR="00CE384A" w:rsidRPr="00E04CF3">
        <w:rPr>
          <w:rStyle w:val="ng-star-inserted"/>
          <w:rFonts w:asciiTheme="minorBidi" w:hAnsiTheme="minorBidi" w:cs="Arial"/>
          <w:rtl/>
          <w:lang w:bidi="ar-SA"/>
        </w:rPr>
        <w:t xml:space="preserve">خلال السنوات القليلة الماضية 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>خطوات عديدة في هذا الصدد، وقد بدأ بعضها يُؤتي ثماره بالفعل على مستوى المنافسة</w:t>
      </w:r>
      <w:r w:rsidRPr="00E04CF3">
        <w:rPr>
          <w:rStyle w:val="ng-star-inserted"/>
          <w:rFonts w:asciiTheme="minorBidi" w:hAnsiTheme="minorBidi" w:cs="Arial"/>
          <w:rtl/>
          <w:lang w:bidi="ar-SA"/>
        </w:rPr>
        <w:t xml:space="preserve"> في النظام المالي.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من أبرز الخطوات </w:t>
      </w:r>
      <w:r w:rsidR="00E04CF3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الأخيرة كان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إزالة العوائق أمام دخول </w:t>
      </w:r>
      <w:r w:rsidR="00E04CF3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بنوك 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>صغيرة إلى السوق</w:t>
      </w:r>
      <w:r w:rsidR="00F06451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 في إطار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خطة منح </w:t>
      </w:r>
      <w:r w:rsidR="00F06451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تراخيص </w:t>
      </w:r>
      <w:r w:rsidR="00F06451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مصرفية </w:t>
      </w:r>
      <w:r w:rsidR="00F06451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متدرجة، وهي خطة شاركت فيها </w:t>
      </w:r>
      <w:r w:rsidR="00F06451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سلطة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المنافسة أيضاً.</w:t>
      </w:r>
    </w:p>
    <w:p w:rsidR="00545ACA" w:rsidRPr="00F06451" w:rsidRDefault="00CD635A" w:rsidP="00CE384A">
      <w:pPr>
        <w:spacing w:before="240"/>
        <w:rPr>
          <w:rStyle w:val="ng-star-inserted"/>
          <w:rFonts w:asciiTheme="minorBidi" w:hAnsiTheme="minorBidi" w:cstheme="minorBidi"/>
          <w:b/>
          <w:bCs/>
          <w:shd w:val="clear" w:color="auto" w:fill="FFFFFF"/>
        </w:rPr>
      </w:pP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إن الانحراف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عن المبدأ المذكور آنف</w:t>
      </w:r>
      <w:r w:rsidR="00CE384A">
        <w:rPr>
          <w:rStyle w:val="ng-star-inserted"/>
          <w:rFonts w:asciiTheme="minorBidi" w:hAnsiTheme="minorBidi" w:cs="Arial"/>
          <w:b/>
          <w:bCs/>
          <w:rtl/>
          <w:lang w:bidi="ar-SA"/>
        </w:rPr>
        <w:t>اً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</w:t>
      </w:r>
      <w:r w:rsidR="00CE384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وإصدار مثل هذا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الاعلان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م</w:t>
      </w:r>
      <w:r w:rsidR="00CE384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ُ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خصص لل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حالات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استثنائية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جداً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>، حي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ن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توجد أدلة قوية وواضحة تُثبت أن فوائد الإعلان تفوق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نتائجه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>، وذلك بعد دراسة بدائل أكثر تناسب</w:t>
      </w:r>
      <w:r w:rsidR="00CE384A">
        <w:rPr>
          <w:rStyle w:val="ng-star-inserted"/>
          <w:rFonts w:asciiTheme="minorBidi" w:hAnsiTheme="minorBidi" w:cs="Arial"/>
          <w:b/>
          <w:bCs/>
          <w:rtl/>
          <w:lang w:bidi="ar-SA"/>
        </w:rPr>
        <w:t>اً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. 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رغم وجود حوار رسمي بين </w:t>
      </w:r>
      <w:r w:rsidRPr="00F06451">
        <w:rPr>
          <w:rStyle w:val="ng-star-inserted"/>
          <w:rFonts w:asciiTheme="minorBidi" w:hAnsiTheme="minorBidi" w:cs="Arial" w:hint="cs"/>
          <w:rtl/>
          <w:lang w:bidi="ar-SA"/>
        </w:rPr>
        <w:t>هيئة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الرقابة </w:t>
      </w:r>
      <w:r w:rsidRPr="00F06451">
        <w:rPr>
          <w:rStyle w:val="ng-star-inserted"/>
          <w:rFonts w:asciiTheme="minorBidi" w:hAnsiTheme="minorBidi" w:cs="Arial" w:hint="cs"/>
          <w:rtl/>
          <w:lang w:bidi="ar-SA"/>
        </w:rPr>
        <w:t>على البنوك وسلطة</w:t>
      </w:r>
      <w:r>
        <w:rPr>
          <w:rStyle w:val="ng-star-inserted"/>
          <w:rFonts w:asciiTheme="minorBidi" w:hAnsiTheme="minorBidi" w:cs="Arial"/>
          <w:rtl/>
          <w:lang w:bidi="ar-SA"/>
        </w:rPr>
        <w:t xml:space="preserve"> المنافسة،</w:t>
      </w:r>
      <w:r>
        <w:rPr>
          <w:rStyle w:val="FootnoteReference"/>
          <w:rFonts w:asciiTheme="minorBidi" w:hAnsiTheme="minorBidi" w:cstheme="minorBidi"/>
          <w:rtl/>
        </w:rPr>
        <w:footnoteReference w:id="2"/>
      </w:r>
      <w:r w:rsidR="00741923" w:rsidRPr="00545ACA">
        <w:rPr>
          <w:rStyle w:val="ng-star-inserted"/>
          <w:rFonts w:asciiTheme="minorBidi" w:hAnsiTheme="minorBidi" w:cstheme="minorBidi"/>
          <w:shd w:val="clear" w:color="auto" w:fill="FFFFFF"/>
          <w:rtl/>
        </w:rPr>
        <w:t xml:space="preserve"> 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إلا أن </w:t>
      </w:r>
      <w:r w:rsidRPr="00F06451">
        <w:rPr>
          <w:rStyle w:val="ng-star-inserted"/>
          <w:rFonts w:asciiTheme="minorBidi" w:hAnsiTheme="minorBidi" w:cs="Arial" w:hint="cs"/>
          <w:rtl/>
          <w:lang w:bidi="ar-SA"/>
        </w:rPr>
        <w:t>السلطة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لم تُقدم أساس</w:t>
      </w:r>
      <w:r w:rsidR="00CE384A">
        <w:rPr>
          <w:rStyle w:val="ng-star-inserted"/>
          <w:rFonts w:asciiTheme="minorBidi" w:hAnsiTheme="minorBidi" w:cs="Arial"/>
          <w:rtl/>
          <w:lang w:bidi="ar-SA"/>
        </w:rPr>
        <w:t>اً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مقنع</w:t>
      </w:r>
      <w:r w:rsidR="00CE384A">
        <w:rPr>
          <w:rStyle w:val="ng-star-inserted"/>
          <w:rFonts w:asciiTheme="minorBidi" w:hAnsiTheme="minorBidi" w:cs="Arial"/>
          <w:rtl/>
          <w:lang w:bidi="ar-SA"/>
        </w:rPr>
        <w:t>اً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</w:t>
      </w:r>
      <w:r w:rsidRPr="00F06451">
        <w:rPr>
          <w:rStyle w:val="ng-star-inserted"/>
          <w:rFonts w:asciiTheme="minorBidi" w:hAnsiTheme="minorBidi" w:cs="Arial" w:hint="cs"/>
          <w:rtl/>
          <w:lang w:bidi="ar-SA"/>
        </w:rPr>
        <w:t>يضمن أن تحقق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</w:t>
      </w:r>
      <w:r w:rsidRPr="00F06451">
        <w:rPr>
          <w:rStyle w:val="ng-star-inserted"/>
          <w:rFonts w:asciiTheme="minorBidi" w:hAnsiTheme="minorBidi" w:cs="Arial" w:hint="cs"/>
          <w:rtl/>
          <w:lang w:bidi="ar-SA"/>
        </w:rPr>
        <w:t>التوجيهات المطروحة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فوائد تنافسية تفوق </w:t>
      </w:r>
      <w:r w:rsidRPr="00F06451">
        <w:rPr>
          <w:rStyle w:val="ng-star-inserted"/>
          <w:rFonts w:asciiTheme="minorBidi" w:hAnsiTheme="minorBidi" w:cs="Arial" w:hint="cs"/>
          <w:rtl/>
          <w:lang w:bidi="ar-SA"/>
        </w:rPr>
        <w:t>تأثيراتها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>، أو أن مخاطرها وتداعياتها النظامية قد دُرست بعمق.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في غياب هذه الدراسة، ولا سيما عندما تتداخل الأحكام مع خطوات سبق أن تبناها بنك إسرائيل، يصعب تبرير استخدام أداة استثنائية ك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إعلان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عن </w:t>
      </w:r>
      <w:r w:rsidR="00CE384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 xml:space="preserve">هذه </w:t>
      </w:r>
      <w:r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المجموعات كاحتكارية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>.</w:t>
      </w:r>
    </w:p>
    <w:p w:rsidR="00545ACA" w:rsidRPr="00545ACA" w:rsidRDefault="00CD635A" w:rsidP="00CE384A">
      <w:pPr>
        <w:spacing w:before="240"/>
        <w:rPr>
          <w:rStyle w:val="ng-star-inserted"/>
          <w:rFonts w:asciiTheme="minorBidi" w:hAnsiTheme="minorBidi" w:cstheme="minorBidi"/>
          <w:b/>
          <w:bCs/>
          <w:rtl/>
        </w:rPr>
      </w:pPr>
      <w:r w:rsidRPr="00F06451">
        <w:rPr>
          <w:rStyle w:val="ng-star-inserted"/>
          <w:rFonts w:asciiTheme="minorBidi" w:hAnsiTheme="minorBidi" w:cs="Arial"/>
          <w:rtl/>
          <w:lang w:bidi="ar-SA"/>
        </w:rPr>
        <w:t>تجدر الإشارة إلى أ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نه في إطار الإجراءات التي أجرتها المفوضة مع </w:t>
      </w:r>
      <w:r w:rsidR="00F06451" w:rsidRPr="00F06451">
        <w:rPr>
          <w:rStyle w:val="ng-star-inserted"/>
          <w:rFonts w:asciiTheme="minorBidi" w:hAnsiTheme="minorBidi" w:cs="Arial" w:hint="cs"/>
          <w:rtl/>
          <w:lang w:bidi="ar-SA"/>
        </w:rPr>
        <w:t>هيئة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الرقابة </w:t>
      </w:r>
      <w:r w:rsidR="00F06451" w:rsidRPr="00F06451">
        <w:rPr>
          <w:rStyle w:val="ng-star-inserted"/>
          <w:rFonts w:asciiTheme="minorBidi" w:hAnsiTheme="minorBidi" w:cs="Arial" w:hint="cs"/>
          <w:rtl/>
          <w:lang w:bidi="ar-SA"/>
        </w:rPr>
        <w:t>على البنوك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 xml:space="preserve"> قبل الإعلان، أبلغ بنك إسرائيل المفوضة بأنه فيما يتعلق ببعض الأحكام التي سعت إلى تطبيقها</w:t>
      </w:r>
      <w:r w:rsidR="00F06451" w:rsidRPr="00F06451">
        <w:rPr>
          <w:rStyle w:val="ng-star-inserted"/>
          <w:rFonts w:asciiTheme="minorBidi" w:hAnsiTheme="minorBidi" w:cs="Arial" w:hint="cs"/>
          <w:rtl/>
          <w:lang w:bidi="ar-SA"/>
        </w:rPr>
        <w:t xml:space="preserve"> </w:t>
      </w:r>
      <w:r w:rsidR="00F06451" w:rsidRPr="00F06451">
        <w:rPr>
          <w:rStyle w:val="ng-star-inserted"/>
          <w:rFonts w:asciiTheme="minorBidi" w:hAnsiTheme="minorBidi" w:cs="Arial"/>
          <w:rtl/>
          <w:lang w:bidi="ar-SA"/>
        </w:rPr>
        <w:t>على الأقل</w:t>
      </w:r>
      <w:r w:rsidRPr="00F06451">
        <w:rPr>
          <w:rStyle w:val="ng-star-inserted"/>
          <w:rFonts w:asciiTheme="minorBidi" w:hAnsiTheme="minorBidi" w:cs="Arial"/>
          <w:rtl/>
          <w:lang w:bidi="ar-SA"/>
        </w:rPr>
        <w:t>،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 ي</w:t>
      </w:r>
      <w:r w:rsidR="00CE384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ُ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لزم </w:t>
      </w:r>
      <w:r w:rsidR="00CE384A">
        <w:rPr>
          <w:rStyle w:val="ng-star-inserted"/>
          <w:rFonts w:asciiTheme="minorBidi" w:hAnsiTheme="minorBidi" w:cs="Arial" w:hint="cs"/>
          <w:b/>
          <w:bCs/>
          <w:rtl/>
          <w:lang w:bidi="ar-SA"/>
        </w:rPr>
        <w:t>ا</w:t>
      </w:r>
      <w:r w:rsidR="00F06451"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لقانون 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>الحصول على موافقة بنك إسرائيل. ولم تُمنح هذه الموافقة.</w:t>
      </w:r>
    </w:p>
    <w:p w:rsidR="00545ACA" w:rsidRPr="00545ACA" w:rsidRDefault="00CD635A" w:rsidP="00545ACA">
      <w:pPr>
        <w:spacing w:before="240"/>
        <w:rPr>
          <w:rStyle w:val="ng-star-inserted"/>
          <w:rFonts w:asciiTheme="minorBidi" w:hAnsiTheme="minorBidi" w:cstheme="minorBidi"/>
          <w:b/>
          <w:bCs/>
          <w:rtl/>
        </w:rPr>
      </w:pP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 xml:space="preserve">سيواصل بنك إسرائيل </w:t>
      </w:r>
      <w:r w:rsidRPr="00545ACA">
        <w:rPr>
          <w:rStyle w:val="ng-star-inserted"/>
          <w:rFonts w:asciiTheme="minorBidi" w:hAnsiTheme="minorBidi" w:cs="Arial"/>
          <w:b/>
          <w:bCs/>
          <w:rtl/>
          <w:lang w:bidi="ar-SA"/>
        </w:rPr>
        <w:t>العمل، في إطار صلاحياته ومن خلال حوار مهني مع جميع الأطراف المعنية، لتعزيز المنافسة العادلة والفعّالة، إلى جانب الحرص الشديد على استقرار النظام المصرفي وأموال الجمهور ورفاهيته.</w:t>
      </w:r>
    </w:p>
    <w:p w:rsidR="00517301" w:rsidRPr="00545ACA" w:rsidRDefault="00517301" w:rsidP="006315D0">
      <w:pPr>
        <w:spacing w:before="120"/>
        <w:rPr>
          <w:rFonts w:asciiTheme="minorBidi" w:hAnsiTheme="minorBidi" w:cstheme="minorBidi"/>
        </w:rPr>
      </w:pPr>
    </w:p>
    <w:sectPr w:rsidR="00517301" w:rsidRPr="00545ACA" w:rsidSect="000922DC">
      <w:footerReference w:type="default" r:id="rId9"/>
      <w:footerReference w:type="first" r:id="rId10"/>
      <w:pgSz w:w="11906" w:h="16838"/>
      <w:pgMar w:top="1440" w:right="1800" w:bottom="1135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229" w:rsidRDefault="00CD635A" w:rsidP="00721FBE">
      <w:pPr>
        <w:spacing w:line="240" w:lineRule="auto"/>
      </w:pPr>
      <w:r>
        <w:separator/>
      </w:r>
    </w:p>
    <w:p w:rsidR="00101229" w:rsidRDefault="00101229"/>
  </w:endnote>
  <w:endnote w:type="continuationSeparator" w:id="0">
    <w:p w:rsidR="00101229" w:rsidRDefault="00CD635A" w:rsidP="00721FBE">
      <w:pPr>
        <w:spacing w:line="240" w:lineRule="auto"/>
      </w:pPr>
      <w:r>
        <w:continuationSeparator/>
      </w:r>
    </w:p>
    <w:p w:rsidR="00101229" w:rsidRDefault="00101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734" w:rsidRPr="004906C5" w:rsidRDefault="00CD635A" w:rsidP="004906C5">
    <w:pPr>
      <w:pStyle w:val="Footer"/>
      <w:jc w:val="center"/>
      <w:rPr>
        <w:rFonts w:cs="Times New Roman"/>
        <w:sz w:val="16"/>
        <w:szCs w:val="16"/>
        <w:rtl/>
        <w:lang w:val="he-IL"/>
      </w:rPr>
    </w:pPr>
    <w:r w:rsidRPr="004906C5">
      <w:rPr>
        <w:rFonts w:hint="cs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-168275</wp:posOffset>
              </wp:positionV>
              <wp:extent cx="5356860" cy="0"/>
              <wp:effectExtent l="0" t="0" r="15240" b="19050"/>
              <wp:wrapNone/>
              <wp:docPr id="10" name="מחבר ישר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5686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0" o:spid="_x0000_s204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.2pt,-13.25pt" to="417.6pt,-13.25pt" strokecolor="black"/>
          </w:pict>
        </mc:Fallback>
      </mc:AlternateContent>
    </w:r>
    <w:r w:rsidR="00331AD0" w:rsidRPr="004906C5">
      <w:rPr>
        <w:rFonts w:cs="Times New Roman"/>
        <w:sz w:val="16"/>
        <w:szCs w:val="16"/>
        <w:rtl/>
        <w:lang w:val="he-I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734" w:rsidRPr="004906C5" w:rsidRDefault="00CD635A" w:rsidP="001D526D">
    <w:pPr>
      <w:pStyle w:val="Footer"/>
      <w:jc w:val="center"/>
      <w:rPr>
        <w:sz w:val="16"/>
        <w:szCs w:val="16"/>
      </w:rPr>
    </w:pPr>
    <w:r w:rsidRPr="004906C5">
      <w:rPr>
        <w:rFonts w:hint="cs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-168275</wp:posOffset>
              </wp:positionV>
              <wp:extent cx="5356860" cy="0"/>
              <wp:effectExtent l="0" t="0" r="1524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5686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4.2pt,-13.25pt" to="417.6pt,-13.25pt" strokecolor="black"/>
          </w:pict>
        </mc:Fallback>
      </mc:AlternateContent>
    </w:r>
    <w:r w:rsidR="00331AD0" w:rsidRPr="004906C5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229" w:rsidRDefault="00CD635A" w:rsidP="000922DC">
      <w:pPr>
        <w:spacing w:line="240" w:lineRule="auto"/>
      </w:pPr>
      <w:r>
        <w:separator/>
      </w:r>
    </w:p>
  </w:footnote>
  <w:footnote w:type="continuationSeparator" w:id="0">
    <w:p w:rsidR="00101229" w:rsidRDefault="00CD635A" w:rsidP="00A93135">
      <w:pPr>
        <w:spacing w:line="240" w:lineRule="auto"/>
      </w:pPr>
      <w:r>
        <w:continuationSeparator/>
      </w:r>
    </w:p>
    <w:p w:rsidR="00101229" w:rsidRDefault="00101229"/>
  </w:footnote>
  <w:footnote w:type="continuationNotice" w:id="1">
    <w:p w:rsidR="00101229" w:rsidRDefault="00101229" w:rsidP="00A93135">
      <w:pPr>
        <w:spacing w:line="240" w:lineRule="auto"/>
      </w:pPr>
    </w:p>
    <w:p w:rsidR="00101229" w:rsidRDefault="00101229"/>
  </w:footnote>
  <w:footnote w:id="2">
    <w:p w:rsidR="00741923" w:rsidRPr="00180F97" w:rsidRDefault="00CD635A" w:rsidP="00F06451">
      <w:pPr>
        <w:pStyle w:val="FootnoteText"/>
        <w:rPr>
          <w:rFonts w:ascii="Assistant" w:hAnsi="Assistant" w:cs="Assistant"/>
        </w:rPr>
      </w:pPr>
      <w:r w:rsidRPr="00180F97">
        <w:rPr>
          <w:rStyle w:val="FootnoteReference"/>
          <w:rFonts w:ascii="Assistant" w:hAnsi="Assistant" w:cs="Assistant"/>
          <w:sz w:val="20"/>
          <w:szCs w:val="20"/>
        </w:rPr>
        <w:footnoteRef/>
      </w:r>
      <w:r w:rsidRPr="00180F97">
        <w:rPr>
          <w:rFonts w:ascii="Assistant" w:hAnsi="Assistant" w:cs="Assistant"/>
          <w:sz w:val="20"/>
          <w:szCs w:val="20"/>
          <w:rtl/>
        </w:rPr>
        <w:t xml:space="preserve"> 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على مدى السنوات الثلاث الماضية، جرى حوار رسمي بين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هيئة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الرقابة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على البنوك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وسلطة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المنافسة تضمن عدة اجتماعات عمل وجلسات تشاور ورسائل مطولة. خلال هذه الفترة،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تبنت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هيئة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الرقابة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على البنوك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موقفاً مهنياً واضحاً ومتسقاً قائماً على مسؤوليتها ودورها في استقرار النظام، وحماية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أموال الجمهور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، والتزامها بتعزيز </w:t>
      </w:r>
      <w:r w:rsidR="00F06451">
        <w:rPr>
          <w:rFonts w:ascii="Assistant" w:hAnsi="Assistant" w:cs="Times New Roman" w:hint="cs"/>
          <w:sz w:val="20"/>
          <w:szCs w:val="20"/>
          <w:rtl/>
          <w:lang w:bidi="ar-SA"/>
        </w:rPr>
        <w:t>النزاهة</w:t>
      </w:r>
      <w:r w:rsidR="00545ACA" w:rsidRPr="00545ACA">
        <w:rPr>
          <w:rFonts w:ascii="Assistant" w:hAnsi="Assistant" w:cs="Times New Roman"/>
          <w:sz w:val="20"/>
          <w:szCs w:val="20"/>
          <w:rtl/>
          <w:lang w:bidi="ar-SA"/>
        </w:rPr>
        <w:t xml:space="preserve"> ودعم المنافسة.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7F6"/>
    <w:multiLevelType w:val="multilevel"/>
    <w:tmpl w:val="EF46FAE4"/>
    <w:styleLink w:val="a"/>
    <w:lvl w:ilvl="0">
      <w:start w:val="1"/>
      <w:numFmt w:val="decimal"/>
      <w:lvlText w:val="%1."/>
      <w:lvlJc w:val="left"/>
      <w:pPr>
        <w:ind w:left="567" w:hanging="567"/>
      </w:pPr>
      <w:rPr>
        <w:rFonts w:cs="David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444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86C32"/>
    <w:multiLevelType w:val="hybridMultilevel"/>
    <w:tmpl w:val="2E54AA1C"/>
    <w:lvl w:ilvl="0" w:tplc="6BD07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E0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5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8A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C4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0A4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C3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42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E0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3D30"/>
    <w:multiLevelType w:val="hybridMultilevel"/>
    <w:tmpl w:val="49DE2DE4"/>
    <w:lvl w:ilvl="0" w:tplc="9836B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C8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2C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40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861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E1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64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25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9AF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6666"/>
    <w:multiLevelType w:val="hybridMultilevel"/>
    <w:tmpl w:val="183AD0EC"/>
    <w:lvl w:ilvl="0" w:tplc="491056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6625D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5C7D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1E87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04B0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34DD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2607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F8A6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624C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5B7B17"/>
    <w:multiLevelType w:val="hybridMultilevel"/>
    <w:tmpl w:val="E1D445F2"/>
    <w:lvl w:ilvl="0" w:tplc="9AFEA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2D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E0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0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F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CE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8E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1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0B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0B0E"/>
    <w:multiLevelType w:val="hybridMultilevel"/>
    <w:tmpl w:val="CC44E082"/>
    <w:lvl w:ilvl="0" w:tplc="F2D8E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68586" w:tentative="1">
      <w:start w:val="1"/>
      <w:numFmt w:val="lowerLetter"/>
      <w:lvlText w:val="%2."/>
      <w:lvlJc w:val="left"/>
      <w:pPr>
        <w:ind w:left="1440" w:hanging="360"/>
      </w:pPr>
    </w:lvl>
    <w:lvl w:ilvl="2" w:tplc="F1C6C254" w:tentative="1">
      <w:start w:val="1"/>
      <w:numFmt w:val="lowerRoman"/>
      <w:lvlText w:val="%3."/>
      <w:lvlJc w:val="right"/>
      <w:pPr>
        <w:ind w:left="2160" w:hanging="180"/>
      </w:pPr>
    </w:lvl>
    <w:lvl w:ilvl="3" w:tplc="ACEA362A" w:tentative="1">
      <w:start w:val="1"/>
      <w:numFmt w:val="decimal"/>
      <w:lvlText w:val="%4."/>
      <w:lvlJc w:val="left"/>
      <w:pPr>
        <w:ind w:left="2880" w:hanging="360"/>
      </w:pPr>
    </w:lvl>
    <w:lvl w:ilvl="4" w:tplc="73200B80" w:tentative="1">
      <w:start w:val="1"/>
      <w:numFmt w:val="lowerLetter"/>
      <w:lvlText w:val="%5."/>
      <w:lvlJc w:val="left"/>
      <w:pPr>
        <w:ind w:left="3600" w:hanging="360"/>
      </w:pPr>
    </w:lvl>
    <w:lvl w:ilvl="5" w:tplc="AF76E726" w:tentative="1">
      <w:start w:val="1"/>
      <w:numFmt w:val="lowerRoman"/>
      <w:lvlText w:val="%6."/>
      <w:lvlJc w:val="right"/>
      <w:pPr>
        <w:ind w:left="4320" w:hanging="180"/>
      </w:pPr>
    </w:lvl>
    <w:lvl w:ilvl="6" w:tplc="41EEBED6" w:tentative="1">
      <w:start w:val="1"/>
      <w:numFmt w:val="decimal"/>
      <w:lvlText w:val="%7."/>
      <w:lvlJc w:val="left"/>
      <w:pPr>
        <w:ind w:left="5040" w:hanging="360"/>
      </w:pPr>
    </w:lvl>
    <w:lvl w:ilvl="7" w:tplc="C2DABE3E" w:tentative="1">
      <w:start w:val="1"/>
      <w:numFmt w:val="lowerLetter"/>
      <w:lvlText w:val="%8."/>
      <w:lvlJc w:val="left"/>
      <w:pPr>
        <w:ind w:left="5760" w:hanging="360"/>
      </w:pPr>
    </w:lvl>
    <w:lvl w:ilvl="8" w:tplc="C2780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72329"/>
    <w:multiLevelType w:val="hybridMultilevel"/>
    <w:tmpl w:val="166A37E0"/>
    <w:lvl w:ilvl="0" w:tplc="BA8AB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685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AA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84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8D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C4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A0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4F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86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B0B76"/>
    <w:multiLevelType w:val="hybridMultilevel"/>
    <w:tmpl w:val="9CBAF7B6"/>
    <w:lvl w:ilvl="0" w:tplc="66622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469E62" w:tentative="1">
      <w:start w:val="1"/>
      <w:numFmt w:val="lowerLetter"/>
      <w:lvlText w:val="%2."/>
      <w:lvlJc w:val="left"/>
      <w:pPr>
        <w:ind w:left="1440" w:hanging="360"/>
      </w:pPr>
    </w:lvl>
    <w:lvl w:ilvl="2" w:tplc="A6CC5472" w:tentative="1">
      <w:start w:val="1"/>
      <w:numFmt w:val="lowerRoman"/>
      <w:lvlText w:val="%3."/>
      <w:lvlJc w:val="right"/>
      <w:pPr>
        <w:ind w:left="2160" w:hanging="180"/>
      </w:pPr>
    </w:lvl>
    <w:lvl w:ilvl="3" w:tplc="1AE2B732" w:tentative="1">
      <w:start w:val="1"/>
      <w:numFmt w:val="decimal"/>
      <w:lvlText w:val="%4."/>
      <w:lvlJc w:val="left"/>
      <w:pPr>
        <w:ind w:left="2880" w:hanging="360"/>
      </w:pPr>
    </w:lvl>
    <w:lvl w:ilvl="4" w:tplc="9F2E3464" w:tentative="1">
      <w:start w:val="1"/>
      <w:numFmt w:val="lowerLetter"/>
      <w:lvlText w:val="%5."/>
      <w:lvlJc w:val="left"/>
      <w:pPr>
        <w:ind w:left="3600" w:hanging="360"/>
      </w:pPr>
    </w:lvl>
    <w:lvl w:ilvl="5" w:tplc="6F36D178" w:tentative="1">
      <w:start w:val="1"/>
      <w:numFmt w:val="lowerRoman"/>
      <w:lvlText w:val="%6."/>
      <w:lvlJc w:val="right"/>
      <w:pPr>
        <w:ind w:left="4320" w:hanging="180"/>
      </w:pPr>
    </w:lvl>
    <w:lvl w:ilvl="6" w:tplc="8C6C9C24" w:tentative="1">
      <w:start w:val="1"/>
      <w:numFmt w:val="decimal"/>
      <w:lvlText w:val="%7."/>
      <w:lvlJc w:val="left"/>
      <w:pPr>
        <w:ind w:left="5040" w:hanging="360"/>
      </w:pPr>
    </w:lvl>
    <w:lvl w:ilvl="7" w:tplc="87B0E778" w:tentative="1">
      <w:start w:val="1"/>
      <w:numFmt w:val="lowerLetter"/>
      <w:lvlText w:val="%8."/>
      <w:lvlJc w:val="left"/>
      <w:pPr>
        <w:ind w:left="5760" w:hanging="360"/>
      </w:pPr>
    </w:lvl>
    <w:lvl w:ilvl="8" w:tplc="71DC6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F4DAA"/>
    <w:multiLevelType w:val="multilevel"/>
    <w:tmpl w:val="8CE47F9A"/>
    <w:lvl w:ilvl="0">
      <w:start w:val="1"/>
      <w:numFmt w:val="decimal"/>
      <w:lvlText w:val="%1."/>
      <w:lvlJc w:val="left"/>
      <w:pPr>
        <w:ind w:left="397" w:hanging="397"/>
      </w:pPr>
      <w:rPr>
        <w:rFonts w:cs="David"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9E4D40"/>
    <w:multiLevelType w:val="hybridMultilevel"/>
    <w:tmpl w:val="FE8E25C8"/>
    <w:lvl w:ilvl="0" w:tplc="C0622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4B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6D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20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82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65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0B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20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B5EC5"/>
    <w:multiLevelType w:val="hybridMultilevel"/>
    <w:tmpl w:val="DF1A86EE"/>
    <w:lvl w:ilvl="0" w:tplc="2B9E9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8F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A9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0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60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20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0C7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67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CD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6347A"/>
    <w:multiLevelType w:val="hybridMultilevel"/>
    <w:tmpl w:val="EEEC5FA8"/>
    <w:lvl w:ilvl="0" w:tplc="17E2A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A6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CF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B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65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4F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65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E5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6C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46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6C2F1D"/>
    <w:multiLevelType w:val="multilevel"/>
    <w:tmpl w:val="C2C6CB8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F52249"/>
    <w:multiLevelType w:val="hybridMultilevel"/>
    <w:tmpl w:val="23C23036"/>
    <w:lvl w:ilvl="0" w:tplc="25660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85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A2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63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0F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4E6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22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2C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68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416C0"/>
    <w:multiLevelType w:val="hybridMultilevel"/>
    <w:tmpl w:val="ACD4C7BE"/>
    <w:lvl w:ilvl="0" w:tplc="AE685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BE24CE" w:tentative="1">
      <w:start w:val="1"/>
      <w:numFmt w:val="lowerLetter"/>
      <w:lvlText w:val="%2."/>
      <w:lvlJc w:val="left"/>
      <w:pPr>
        <w:ind w:left="1440" w:hanging="360"/>
      </w:pPr>
    </w:lvl>
    <w:lvl w:ilvl="2" w:tplc="4D6A2C24" w:tentative="1">
      <w:start w:val="1"/>
      <w:numFmt w:val="lowerRoman"/>
      <w:lvlText w:val="%3."/>
      <w:lvlJc w:val="right"/>
      <w:pPr>
        <w:ind w:left="2160" w:hanging="180"/>
      </w:pPr>
    </w:lvl>
    <w:lvl w:ilvl="3" w:tplc="C4BCE1CC" w:tentative="1">
      <w:start w:val="1"/>
      <w:numFmt w:val="decimal"/>
      <w:lvlText w:val="%4."/>
      <w:lvlJc w:val="left"/>
      <w:pPr>
        <w:ind w:left="2880" w:hanging="360"/>
      </w:pPr>
    </w:lvl>
    <w:lvl w:ilvl="4" w:tplc="02DE7472" w:tentative="1">
      <w:start w:val="1"/>
      <w:numFmt w:val="lowerLetter"/>
      <w:lvlText w:val="%5."/>
      <w:lvlJc w:val="left"/>
      <w:pPr>
        <w:ind w:left="3600" w:hanging="360"/>
      </w:pPr>
    </w:lvl>
    <w:lvl w:ilvl="5" w:tplc="BDE20E88" w:tentative="1">
      <w:start w:val="1"/>
      <w:numFmt w:val="lowerRoman"/>
      <w:lvlText w:val="%6."/>
      <w:lvlJc w:val="right"/>
      <w:pPr>
        <w:ind w:left="4320" w:hanging="180"/>
      </w:pPr>
    </w:lvl>
    <w:lvl w:ilvl="6" w:tplc="C03A16D4" w:tentative="1">
      <w:start w:val="1"/>
      <w:numFmt w:val="decimal"/>
      <w:lvlText w:val="%7."/>
      <w:lvlJc w:val="left"/>
      <w:pPr>
        <w:ind w:left="5040" w:hanging="360"/>
      </w:pPr>
    </w:lvl>
    <w:lvl w:ilvl="7" w:tplc="28661A46" w:tentative="1">
      <w:start w:val="1"/>
      <w:numFmt w:val="lowerLetter"/>
      <w:lvlText w:val="%8."/>
      <w:lvlJc w:val="left"/>
      <w:pPr>
        <w:ind w:left="5760" w:hanging="360"/>
      </w:pPr>
    </w:lvl>
    <w:lvl w:ilvl="8" w:tplc="3592A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A27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43025D"/>
    <w:multiLevelType w:val="hybridMultilevel"/>
    <w:tmpl w:val="D7CAE106"/>
    <w:lvl w:ilvl="0" w:tplc="E38A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03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D2E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4C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48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AA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C7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06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A1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75A46"/>
    <w:multiLevelType w:val="hybridMultilevel"/>
    <w:tmpl w:val="70F27B0A"/>
    <w:lvl w:ilvl="0" w:tplc="B6F0A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0895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D62A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522A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7288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36E2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CC2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E43F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9824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80734"/>
    <w:multiLevelType w:val="hybridMultilevel"/>
    <w:tmpl w:val="2ACE8576"/>
    <w:lvl w:ilvl="0" w:tplc="73027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00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E1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6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9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48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0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6D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81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13"/>
  </w:num>
  <w:num w:numId="9">
    <w:abstractNumId w:val="18"/>
  </w:num>
  <w:num w:numId="10">
    <w:abstractNumId w:val="20"/>
  </w:num>
  <w:num w:numId="11">
    <w:abstractNumId w:val="10"/>
  </w:num>
  <w:num w:numId="12">
    <w:abstractNumId w:val="7"/>
  </w:num>
  <w:num w:numId="13">
    <w:abstractNumId w:val="11"/>
  </w:num>
  <w:num w:numId="14">
    <w:abstractNumId w:val="2"/>
  </w:num>
  <w:num w:numId="15">
    <w:abstractNumId w:val="3"/>
  </w:num>
  <w:num w:numId="16">
    <w:abstractNumId w:val="15"/>
  </w:num>
  <w:num w:numId="17">
    <w:abstractNumId w:val="12"/>
  </w:num>
  <w:num w:numId="18">
    <w:abstractNumId w:val="5"/>
  </w:num>
  <w:num w:numId="19">
    <w:abstractNumId w:val="16"/>
  </w:num>
  <w:num w:numId="20">
    <w:abstractNumId w:val="19"/>
  </w:num>
  <w:num w:numId="2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BE"/>
    <w:rsid w:val="000000C9"/>
    <w:rsid w:val="000061BB"/>
    <w:rsid w:val="00044C9A"/>
    <w:rsid w:val="00053B05"/>
    <w:rsid w:val="00055984"/>
    <w:rsid w:val="00055AF0"/>
    <w:rsid w:val="00056133"/>
    <w:rsid w:val="00063703"/>
    <w:rsid w:val="000639AA"/>
    <w:rsid w:val="00063F02"/>
    <w:rsid w:val="00070AC9"/>
    <w:rsid w:val="00072C8D"/>
    <w:rsid w:val="000763AA"/>
    <w:rsid w:val="00082E73"/>
    <w:rsid w:val="000840A7"/>
    <w:rsid w:val="000922DC"/>
    <w:rsid w:val="000947E3"/>
    <w:rsid w:val="000A1115"/>
    <w:rsid w:val="000C6244"/>
    <w:rsid w:val="000D142B"/>
    <w:rsid w:val="000D4ECD"/>
    <w:rsid w:val="000D6B02"/>
    <w:rsid w:val="000F256A"/>
    <w:rsid w:val="000F7142"/>
    <w:rsid w:val="00100598"/>
    <w:rsid w:val="00101229"/>
    <w:rsid w:val="001106F9"/>
    <w:rsid w:val="001176C3"/>
    <w:rsid w:val="00124456"/>
    <w:rsid w:val="00130C80"/>
    <w:rsid w:val="0013273D"/>
    <w:rsid w:val="00132DBC"/>
    <w:rsid w:val="00136642"/>
    <w:rsid w:val="00141434"/>
    <w:rsid w:val="00180F97"/>
    <w:rsid w:val="001859C7"/>
    <w:rsid w:val="001A3043"/>
    <w:rsid w:val="001C18E3"/>
    <w:rsid w:val="001C4F5E"/>
    <w:rsid w:val="001C50E5"/>
    <w:rsid w:val="001C5984"/>
    <w:rsid w:val="001D526D"/>
    <w:rsid w:val="001E13B8"/>
    <w:rsid w:val="001E34B0"/>
    <w:rsid w:val="001E7A98"/>
    <w:rsid w:val="001E7EE3"/>
    <w:rsid w:val="001F5113"/>
    <w:rsid w:val="002200B9"/>
    <w:rsid w:val="00226BF9"/>
    <w:rsid w:val="00227F17"/>
    <w:rsid w:val="00232978"/>
    <w:rsid w:val="00234BA5"/>
    <w:rsid w:val="00242F90"/>
    <w:rsid w:val="002461AB"/>
    <w:rsid w:val="00250870"/>
    <w:rsid w:val="00253ACA"/>
    <w:rsid w:val="0026199C"/>
    <w:rsid w:val="00267752"/>
    <w:rsid w:val="00271114"/>
    <w:rsid w:val="00286819"/>
    <w:rsid w:val="002872BE"/>
    <w:rsid w:val="00292C4E"/>
    <w:rsid w:val="00293C76"/>
    <w:rsid w:val="00296B6B"/>
    <w:rsid w:val="002A004D"/>
    <w:rsid w:val="002B1AD6"/>
    <w:rsid w:val="002B6056"/>
    <w:rsid w:val="002C58EB"/>
    <w:rsid w:val="002E1FC3"/>
    <w:rsid w:val="002F06E5"/>
    <w:rsid w:val="0030230F"/>
    <w:rsid w:val="003046A6"/>
    <w:rsid w:val="00304F9A"/>
    <w:rsid w:val="003175B9"/>
    <w:rsid w:val="003223EA"/>
    <w:rsid w:val="00323380"/>
    <w:rsid w:val="003275F0"/>
    <w:rsid w:val="00331AD0"/>
    <w:rsid w:val="00345540"/>
    <w:rsid w:val="003505FC"/>
    <w:rsid w:val="0035237D"/>
    <w:rsid w:val="00353663"/>
    <w:rsid w:val="00397C57"/>
    <w:rsid w:val="003C22C4"/>
    <w:rsid w:val="003D5168"/>
    <w:rsid w:val="003E1BB2"/>
    <w:rsid w:val="003E2A17"/>
    <w:rsid w:val="003E6D27"/>
    <w:rsid w:val="003F1176"/>
    <w:rsid w:val="003F41EF"/>
    <w:rsid w:val="003F623C"/>
    <w:rsid w:val="00417FAD"/>
    <w:rsid w:val="00435A2C"/>
    <w:rsid w:val="0045141C"/>
    <w:rsid w:val="00452ABE"/>
    <w:rsid w:val="004553AE"/>
    <w:rsid w:val="004556C7"/>
    <w:rsid w:val="00455D9F"/>
    <w:rsid w:val="004622C8"/>
    <w:rsid w:val="00464591"/>
    <w:rsid w:val="00467B6E"/>
    <w:rsid w:val="0047641A"/>
    <w:rsid w:val="00480573"/>
    <w:rsid w:val="004906C5"/>
    <w:rsid w:val="004938CC"/>
    <w:rsid w:val="004A1E2F"/>
    <w:rsid w:val="004B4689"/>
    <w:rsid w:val="004C1FF5"/>
    <w:rsid w:val="004C4EE6"/>
    <w:rsid w:val="004C58BA"/>
    <w:rsid w:val="004E0AF5"/>
    <w:rsid w:val="004E4D9D"/>
    <w:rsid w:val="004E6ADB"/>
    <w:rsid w:val="004F358B"/>
    <w:rsid w:val="005130BA"/>
    <w:rsid w:val="00517301"/>
    <w:rsid w:val="00542D46"/>
    <w:rsid w:val="00543C53"/>
    <w:rsid w:val="00544D9D"/>
    <w:rsid w:val="00545ACA"/>
    <w:rsid w:val="00552B0B"/>
    <w:rsid w:val="0057388F"/>
    <w:rsid w:val="00574628"/>
    <w:rsid w:val="005766A9"/>
    <w:rsid w:val="00581EA5"/>
    <w:rsid w:val="005842CA"/>
    <w:rsid w:val="0058763B"/>
    <w:rsid w:val="00590CD6"/>
    <w:rsid w:val="00592CC0"/>
    <w:rsid w:val="00592CF1"/>
    <w:rsid w:val="00593F64"/>
    <w:rsid w:val="005959B3"/>
    <w:rsid w:val="005A0E19"/>
    <w:rsid w:val="005A1CF7"/>
    <w:rsid w:val="005A44B8"/>
    <w:rsid w:val="005B1F28"/>
    <w:rsid w:val="005C6C69"/>
    <w:rsid w:val="005D2D40"/>
    <w:rsid w:val="005D48F0"/>
    <w:rsid w:val="005D4F29"/>
    <w:rsid w:val="005E226A"/>
    <w:rsid w:val="005F01B1"/>
    <w:rsid w:val="005F20FA"/>
    <w:rsid w:val="005F483C"/>
    <w:rsid w:val="005F7544"/>
    <w:rsid w:val="00604459"/>
    <w:rsid w:val="0060492E"/>
    <w:rsid w:val="0062041F"/>
    <w:rsid w:val="006315D0"/>
    <w:rsid w:val="006323AF"/>
    <w:rsid w:val="00657F83"/>
    <w:rsid w:val="00670577"/>
    <w:rsid w:val="00675A60"/>
    <w:rsid w:val="00691392"/>
    <w:rsid w:val="006A34B9"/>
    <w:rsid w:val="006A6D62"/>
    <w:rsid w:val="006C5EB8"/>
    <w:rsid w:val="006D3B19"/>
    <w:rsid w:val="006D5DB2"/>
    <w:rsid w:val="006D5E90"/>
    <w:rsid w:val="006E70B3"/>
    <w:rsid w:val="006E790D"/>
    <w:rsid w:val="006F2305"/>
    <w:rsid w:val="006F6A71"/>
    <w:rsid w:val="007207A3"/>
    <w:rsid w:val="00721FBE"/>
    <w:rsid w:val="0072334B"/>
    <w:rsid w:val="00727AD8"/>
    <w:rsid w:val="00737E74"/>
    <w:rsid w:val="00741923"/>
    <w:rsid w:val="00757BF5"/>
    <w:rsid w:val="00760BE8"/>
    <w:rsid w:val="00777F0F"/>
    <w:rsid w:val="007869BD"/>
    <w:rsid w:val="00786FBE"/>
    <w:rsid w:val="00797DC7"/>
    <w:rsid w:val="00797E0D"/>
    <w:rsid w:val="007A18D4"/>
    <w:rsid w:val="007A3BA5"/>
    <w:rsid w:val="007B09D7"/>
    <w:rsid w:val="007C6AD8"/>
    <w:rsid w:val="007D589C"/>
    <w:rsid w:val="007D5ABF"/>
    <w:rsid w:val="007E7263"/>
    <w:rsid w:val="007F1734"/>
    <w:rsid w:val="007F5326"/>
    <w:rsid w:val="007F5D91"/>
    <w:rsid w:val="00810637"/>
    <w:rsid w:val="00825B37"/>
    <w:rsid w:val="00835CEC"/>
    <w:rsid w:val="00857346"/>
    <w:rsid w:val="0087503B"/>
    <w:rsid w:val="00882B25"/>
    <w:rsid w:val="008A2736"/>
    <w:rsid w:val="008A2F2E"/>
    <w:rsid w:val="008A60A2"/>
    <w:rsid w:val="008A6D6E"/>
    <w:rsid w:val="008B0B64"/>
    <w:rsid w:val="008B35B4"/>
    <w:rsid w:val="008B6BE3"/>
    <w:rsid w:val="008C079C"/>
    <w:rsid w:val="008C097E"/>
    <w:rsid w:val="008C400E"/>
    <w:rsid w:val="008C661C"/>
    <w:rsid w:val="008E2E94"/>
    <w:rsid w:val="008E3A2D"/>
    <w:rsid w:val="008E5129"/>
    <w:rsid w:val="008E5BA1"/>
    <w:rsid w:val="008E7971"/>
    <w:rsid w:val="008E7F3D"/>
    <w:rsid w:val="0092403D"/>
    <w:rsid w:val="00926E8C"/>
    <w:rsid w:val="0093342B"/>
    <w:rsid w:val="00953969"/>
    <w:rsid w:val="00953C9E"/>
    <w:rsid w:val="0096410F"/>
    <w:rsid w:val="009814CF"/>
    <w:rsid w:val="009819F5"/>
    <w:rsid w:val="00990EA6"/>
    <w:rsid w:val="009A4CBC"/>
    <w:rsid w:val="009B13AF"/>
    <w:rsid w:val="009B5125"/>
    <w:rsid w:val="009E1787"/>
    <w:rsid w:val="009E70C4"/>
    <w:rsid w:val="009F132B"/>
    <w:rsid w:val="009F72C4"/>
    <w:rsid w:val="00A000DD"/>
    <w:rsid w:val="00A003A1"/>
    <w:rsid w:val="00A105C4"/>
    <w:rsid w:val="00A22227"/>
    <w:rsid w:val="00A23BA5"/>
    <w:rsid w:val="00A2613F"/>
    <w:rsid w:val="00A27A3F"/>
    <w:rsid w:val="00A31049"/>
    <w:rsid w:val="00A35A15"/>
    <w:rsid w:val="00A46CCC"/>
    <w:rsid w:val="00A50E27"/>
    <w:rsid w:val="00A52AED"/>
    <w:rsid w:val="00A6135C"/>
    <w:rsid w:val="00A61982"/>
    <w:rsid w:val="00A71342"/>
    <w:rsid w:val="00A805BB"/>
    <w:rsid w:val="00A81B83"/>
    <w:rsid w:val="00A870FA"/>
    <w:rsid w:val="00A92CDF"/>
    <w:rsid w:val="00A93135"/>
    <w:rsid w:val="00A93465"/>
    <w:rsid w:val="00A97126"/>
    <w:rsid w:val="00AB255F"/>
    <w:rsid w:val="00AB66BE"/>
    <w:rsid w:val="00AC5E01"/>
    <w:rsid w:val="00AC6DF0"/>
    <w:rsid w:val="00AC7DFA"/>
    <w:rsid w:val="00AD2C4D"/>
    <w:rsid w:val="00AD566A"/>
    <w:rsid w:val="00AE157D"/>
    <w:rsid w:val="00AF2415"/>
    <w:rsid w:val="00B0133B"/>
    <w:rsid w:val="00B06DFF"/>
    <w:rsid w:val="00B174D3"/>
    <w:rsid w:val="00B22ABE"/>
    <w:rsid w:val="00B317D7"/>
    <w:rsid w:val="00B32E81"/>
    <w:rsid w:val="00B44B12"/>
    <w:rsid w:val="00B45267"/>
    <w:rsid w:val="00B6170B"/>
    <w:rsid w:val="00B66919"/>
    <w:rsid w:val="00B7265E"/>
    <w:rsid w:val="00B80FF4"/>
    <w:rsid w:val="00B831A0"/>
    <w:rsid w:val="00B91C15"/>
    <w:rsid w:val="00B96949"/>
    <w:rsid w:val="00BB0830"/>
    <w:rsid w:val="00BB3C69"/>
    <w:rsid w:val="00BB79F4"/>
    <w:rsid w:val="00BD233F"/>
    <w:rsid w:val="00BD5C0D"/>
    <w:rsid w:val="00BE4653"/>
    <w:rsid w:val="00BF1BDB"/>
    <w:rsid w:val="00C10E54"/>
    <w:rsid w:val="00C125A8"/>
    <w:rsid w:val="00C14AE0"/>
    <w:rsid w:val="00C15E68"/>
    <w:rsid w:val="00C378E0"/>
    <w:rsid w:val="00C378E6"/>
    <w:rsid w:val="00C51182"/>
    <w:rsid w:val="00C634DE"/>
    <w:rsid w:val="00C65FB1"/>
    <w:rsid w:val="00C73AB3"/>
    <w:rsid w:val="00C83D18"/>
    <w:rsid w:val="00C913ED"/>
    <w:rsid w:val="00C95A17"/>
    <w:rsid w:val="00C95BBE"/>
    <w:rsid w:val="00CA5785"/>
    <w:rsid w:val="00CB23A9"/>
    <w:rsid w:val="00CC5191"/>
    <w:rsid w:val="00CD635A"/>
    <w:rsid w:val="00CE1920"/>
    <w:rsid w:val="00CE384A"/>
    <w:rsid w:val="00CF2B4B"/>
    <w:rsid w:val="00D162AE"/>
    <w:rsid w:val="00D4276A"/>
    <w:rsid w:val="00D528BE"/>
    <w:rsid w:val="00D52A7A"/>
    <w:rsid w:val="00D5652D"/>
    <w:rsid w:val="00D65EB3"/>
    <w:rsid w:val="00D66A47"/>
    <w:rsid w:val="00DB40A4"/>
    <w:rsid w:val="00DB5EE7"/>
    <w:rsid w:val="00DC681C"/>
    <w:rsid w:val="00DD27B2"/>
    <w:rsid w:val="00DD5B46"/>
    <w:rsid w:val="00DD7772"/>
    <w:rsid w:val="00DE285A"/>
    <w:rsid w:val="00E04CF3"/>
    <w:rsid w:val="00E128C6"/>
    <w:rsid w:val="00E13DF9"/>
    <w:rsid w:val="00E27DB5"/>
    <w:rsid w:val="00E323E6"/>
    <w:rsid w:val="00E4027F"/>
    <w:rsid w:val="00E51BA2"/>
    <w:rsid w:val="00E54C5E"/>
    <w:rsid w:val="00E6561F"/>
    <w:rsid w:val="00E67538"/>
    <w:rsid w:val="00E74A48"/>
    <w:rsid w:val="00EA202F"/>
    <w:rsid w:val="00EA2621"/>
    <w:rsid w:val="00EA4917"/>
    <w:rsid w:val="00EA5583"/>
    <w:rsid w:val="00EC19F3"/>
    <w:rsid w:val="00EC33B7"/>
    <w:rsid w:val="00EC5744"/>
    <w:rsid w:val="00EC6EF6"/>
    <w:rsid w:val="00ED0DB8"/>
    <w:rsid w:val="00ED6636"/>
    <w:rsid w:val="00EE1EFB"/>
    <w:rsid w:val="00EE601B"/>
    <w:rsid w:val="00EE6166"/>
    <w:rsid w:val="00EE61E7"/>
    <w:rsid w:val="00EF577A"/>
    <w:rsid w:val="00F06451"/>
    <w:rsid w:val="00F07FB0"/>
    <w:rsid w:val="00F16FAD"/>
    <w:rsid w:val="00F207C4"/>
    <w:rsid w:val="00F22F76"/>
    <w:rsid w:val="00F31D25"/>
    <w:rsid w:val="00F3725D"/>
    <w:rsid w:val="00F37B60"/>
    <w:rsid w:val="00F44FE7"/>
    <w:rsid w:val="00F512CF"/>
    <w:rsid w:val="00F513FB"/>
    <w:rsid w:val="00F56354"/>
    <w:rsid w:val="00F60560"/>
    <w:rsid w:val="00F60AA9"/>
    <w:rsid w:val="00F73060"/>
    <w:rsid w:val="00F84D3B"/>
    <w:rsid w:val="00F85986"/>
    <w:rsid w:val="00F8676B"/>
    <w:rsid w:val="00FA6EF6"/>
    <w:rsid w:val="00FB3B7C"/>
    <w:rsid w:val="00FB5C4D"/>
    <w:rsid w:val="00FC5331"/>
    <w:rsid w:val="00FC7762"/>
    <w:rsid w:val="00FE1210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A75E33-4E7C-0D4D-84D6-7FC944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David"/>
        <w:sz w:val="24"/>
        <w:szCs w:val="24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76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59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1FB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21FBE"/>
  </w:style>
  <w:style w:type="paragraph" w:styleId="Footer">
    <w:name w:val="footer"/>
    <w:basedOn w:val="Normal"/>
    <w:link w:val="FooterChar"/>
    <w:unhideWhenUsed/>
    <w:rsid w:val="00721FB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BE"/>
  </w:style>
  <w:style w:type="paragraph" w:styleId="BalloonText">
    <w:name w:val="Balloon Text"/>
    <w:basedOn w:val="Normal"/>
    <w:link w:val="BalloonTextChar"/>
    <w:uiPriority w:val="99"/>
    <w:semiHidden/>
    <w:unhideWhenUsed/>
    <w:rsid w:val="00721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590C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A3BA5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B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3BA5"/>
    <w:rPr>
      <w:vertAlign w:val="superscript"/>
    </w:rPr>
  </w:style>
  <w:style w:type="paragraph" w:styleId="NoSpacing">
    <w:name w:val="No Spacing"/>
    <w:uiPriority w:val="1"/>
    <w:qFormat/>
    <w:rsid w:val="008A6D6E"/>
    <w:pPr>
      <w:spacing w:line="240" w:lineRule="auto"/>
    </w:pPr>
  </w:style>
  <w:style w:type="character" w:styleId="PageNumber">
    <w:name w:val="page number"/>
    <w:basedOn w:val="DefaultParagraphFont"/>
    <w:rsid w:val="004E0AF5"/>
  </w:style>
  <w:style w:type="paragraph" w:styleId="ListParagraph">
    <w:name w:val="List Paragraph"/>
    <w:basedOn w:val="Normal"/>
    <w:uiPriority w:val="34"/>
    <w:qFormat/>
    <w:rsid w:val="00C125A8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numbering" w:customStyle="1" w:styleId="kal">
    <w:name w:val="kal"/>
    <w:uiPriority w:val="99"/>
    <w:rsid w:val="00B32E81"/>
  </w:style>
  <w:style w:type="numbering" w:customStyle="1" w:styleId="kal1">
    <w:name w:val="kal1"/>
    <w:next w:val="kal"/>
    <w:uiPriority w:val="99"/>
    <w:rsid w:val="00B32E81"/>
  </w:style>
  <w:style w:type="numbering" w:customStyle="1" w:styleId="a">
    <w:name w:val="יחידה כלכלית"/>
    <w:uiPriority w:val="99"/>
    <w:rsid w:val="00CA5785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924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403D"/>
    <w:rPr>
      <w:color w:val="800080" w:themeColor="followedHyperlink"/>
      <w:u w:val="single"/>
    </w:rPr>
  </w:style>
  <w:style w:type="character" w:customStyle="1" w:styleId="ng-star-inserted">
    <w:name w:val="ng-star-inserted"/>
    <w:basedOn w:val="DefaultParagraphFont"/>
    <w:rsid w:val="00B0133B"/>
  </w:style>
  <w:style w:type="character" w:styleId="CommentReference">
    <w:name w:val="annotation reference"/>
    <w:basedOn w:val="DefaultParagraphFont"/>
    <w:uiPriority w:val="99"/>
    <w:semiHidden/>
    <w:unhideWhenUsed/>
    <w:rsid w:val="001C4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F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F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1115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3DDC-08E6-4482-9B50-A31EBCE0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3055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 Abu Aqel</dc:creator>
  <cp:lastModifiedBy>רוסול דכוור</cp:lastModifiedBy>
  <cp:revision>2</cp:revision>
  <cp:lastPrinted>2013-07-21T07:49:00Z</cp:lastPrinted>
  <dcterms:created xsi:type="dcterms:W3CDTF">2026-06-01T10:19:00Z</dcterms:created>
  <dcterms:modified xsi:type="dcterms:W3CDTF">2026-06-01T10:19:00Z</dcterms:modified>
</cp:coreProperties>
</file>