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668"/>
        <w:bidiVisual/>
        <w:tblW w:w="0" w:type="auto"/>
        <w:tblLayout w:type="fixed"/>
        <w:tblLook w:val="0000" w:firstRow="0" w:lastRow="0" w:firstColumn="0" w:lastColumn="0" w:noHBand="0" w:noVBand="0"/>
        <w:tblCaption w:val="כותרת"/>
        <w:tblDescription w:val="כותרת"/>
      </w:tblPr>
      <w:tblGrid>
        <w:gridCol w:w="2840"/>
        <w:gridCol w:w="2596"/>
        <w:gridCol w:w="3084"/>
      </w:tblGrid>
      <w:tr w:rsidR="00491EAA" w:rsidRPr="006702C1" w:rsidTr="00160164">
        <w:trPr>
          <w:cantSplit/>
          <w:trHeight w:val="1276"/>
        </w:trPr>
        <w:tc>
          <w:tcPr>
            <w:tcW w:w="2840" w:type="dxa"/>
            <w:tcBorders>
              <w:top w:val="nil"/>
              <w:left w:val="nil"/>
              <w:bottom w:val="nil"/>
              <w:right w:val="nil"/>
            </w:tcBorders>
            <w:vAlign w:val="center"/>
          </w:tcPr>
          <w:p w:rsidR="00491EAA" w:rsidRPr="006702C1" w:rsidRDefault="00491EAA" w:rsidP="00160164">
            <w:pPr>
              <w:spacing w:line="360" w:lineRule="auto"/>
              <w:jc w:val="center"/>
              <w:rPr>
                <w:rFonts w:cs="David"/>
                <w:b/>
                <w:bCs/>
                <w:sz w:val="24"/>
                <w:szCs w:val="24"/>
              </w:rPr>
            </w:pPr>
            <w:r w:rsidRPr="006702C1">
              <w:rPr>
                <w:rFonts w:cs="David"/>
                <w:b/>
                <w:bCs/>
                <w:sz w:val="24"/>
                <w:szCs w:val="24"/>
                <w:rtl/>
              </w:rPr>
              <w:t>בנק ישראל</w:t>
            </w:r>
          </w:p>
          <w:p w:rsidR="00491EAA" w:rsidRPr="006702C1" w:rsidRDefault="00491EAA" w:rsidP="00160164">
            <w:pPr>
              <w:spacing w:line="360" w:lineRule="auto"/>
              <w:ind w:right="-101"/>
              <w:jc w:val="center"/>
              <w:rPr>
                <w:sz w:val="24"/>
                <w:szCs w:val="24"/>
              </w:rPr>
            </w:pPr>
            <w:r w:rsidRPr="006702C1">
              <w:rPr>
                <w:rFonts w:cs="David"/>
                <w:sz w:val="24"/>
                <w:szCs w:val="24"/>
                <w:rtl/>
              </w:rPr>
              <w:t>דוברות והסברה כלכלית</w:t>
            </w:r>
          </w:p>
        </w:tc>
        <w:tc>
          <w:tcPr>
            <w:tcW w:w="2596" w:type="dxa"/>
            <w:tcBorders>
              <w:top w:val="nil"/>
              <w:left w:val="nil"/>
              <w:bottom w:val="nil"/>
              <w:right w:val="nil"/>
            </w:tcBorders>
          </w:tcPr>
          <w:p w:rsidR="00491EAA" w:rsidRPr="006702C1" w:rsidRDefault="00491EAA" w:rsidP="00160164">
            <w:pPr>
              <w:jc w:val="center"/>
              <w:rPr>
                <w:sz w:val="24"/>
                <w:szCs w:val="24"/>
              </w:rPr>
            </w:pPr>
            <w:r w:rsidRPr="006702C1">
              <w:rPr>
                <w:noProof/>
                <w:sz w:val="24"/>
                <w:szCs w:val="24"/>
                <w:rtl/>
              </w:rPr>
              <w:drawing>
                <wp:inline distT="0" distB="0" distL="0" distR="0" wp14:anchorId="2DA9CDBF" wp14:editId="6646F36C">
                  <wp:extent cx="772761" cy="769620"/>
                  <wp:effectExtent l="0" t="0" r="8890" b="0"/>
                  <wp:docPr id="2" name="תמונה 2" descr="לוגו בנק ישראל" title="לוגו בנק ישרא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over\תפעול לשכת הדובר\כלים\לוגו\boi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2761" cy="769620"/>
                          </a:xfrm>
                          <a:prstGeom prst="rect">
                            <a:avLst/>
                          </a:prstGeom>
                          <a:noFill/>
                          <a:ln>
                            <a:noFill/>
                          </a:ln>
                        </pic:spPr>
                      </pic:pic>
                    </a:graphicData>
                  </a:graphic>
                </wp:inline>
              </w:drawing>
            </w:r>
          </w:p>
        </w:tc>
        <w:tc>
          <w:tcPr>
            <w:tcW w:w="3084" w:type="dxa"/>
            <w:tcBorders>
              <w:top w:val="nil"/>
              <w:left w:val="nil"/>
              <w:bottom w:val="nil"/>
              <w:right w:val="nil"/>
            </w:tcBorders>
            <w:vAlign w:val="center"/>
          </w:tcPr>
          <w:p w:rsidR="00491EAA" w:rsidRPr="006702C1" w:rsidRDefault="00491EAA" w:rsidP="00491EAA">
            <w:pPr>
              <w:spacing w:line="480" w:lineRule="auto"/>
              <w:jc w:val="right"/>
              <w:rPr>
                <w:rFonts w:cs="David"/>
                <w:sz w:val="24"/>
                <w:szCs w:val="24"/>
              </w:rPr>
            </w:pPr>
            <w:r w:rsidRPr="006702C1">
              <w:rPr>
                <w:rFonts w:cs="David" w:hint="eastAsia"/>
                <w:sz w:val="24"/>
                <w:szCs w:val="24"/>
                <w:rtl/>
              </w:rPr>
              <w:t>‏</w:t>
            </w:r>
            <w:r w:rsidRPr="006702C1">
              <w:rPr>
                <w:rFonts w:cs="David"/>
                <w:sz w:val="24"/>
                <w:szCs w:val="24"/>
                <w:rtl/>
              </w:rPr>
              <w:t xml:space="preserve">ירושלים, </w:t>
            </w:r>
            <w:r>
              <w:rPr>
                <w:rFonts w:cs="David" w:hint="cs"/>
                <w:sz w:val="24"/>
                <w:szCs w:val="24"/>
                <w:rtl/>
              </w:rPr>
              <w:t xml:space="preserve">כ"ד </w:t>
            </w:r>
            <w:r w:rsidRPr="006702C1">
              <w:rPr>
                <w:rFonts w:cs="David"/>
                <w:sz w:val="24"/>
                <w:szCs w:val="24"/>
                <w:rtl/>
              </w:rPr>
              <w:t>ב</w:t>
            </w:r>
            <w:r>
              <w:rPr>
                <w:rFonts w:cs="David" w:hint="cs"/>
                <w:sz w:val="24"/>
                <w:szCs w:val="24"/>
                <w:rtl/>
              </w:rPr>
              <w:t>אדר</w:t>
            </w:r>
            <w:r w:rsidRPr="006702C1">
              <w:rPr>
                <w:rFonts w:cs="David"/>
                <w:sz w:val="24"/>
                <w:szCs w:val="24"/>
                <w:rtl/>
              </w:rPr>
              <w:t xml:space="preserve">, </w:t>
            </w:r>
            <w:proofErr w:type="spellStart"/>
            <w:r w:rsidRPr="006702C1">
              <w:rPr>
                <w:rFonts w:cs="David"/>
                <w:sz w:val="24"/>
                <w:szCs w:val="24"/>
                <w:rtl/>
              </w:rPr>
              <w:t>התשע"</w:t>
            </w:r>
            <w:r>
              <w:rPr>
                <w:rFonts w:cs="David" w:hint="cs"/>
                <w:sz w:val="24"/>
                <w:szCs w:val="24"/>
                <w:rtl/>
              </w:rPr>
              <w:t>ז</w:t>
            </w:r>
            <w:proofErr w:type="spellEnd"/>
          </w:p>
          <w:p w:rsidR="00491EAA" w:rsidRPr="006702C1" w:rsidRDefault="00491EAA" w:rsidP="00491EAA">
            <w:pPr>
              <w:spacing w:line="480" w:lineRule="auto"/>
              <w:jc w:val="right"/>
              <w:rPr>
                <w:rFonts w:cs="David"/>
                <w:sz w:val="24"/>
                <w:szCs w:val="24"/>
              </w:rPr>
            </w:pPr>
            <w:r w:rsidRPr="006702C1">
              <w:rPr>
                <w:rFonts w:cs="David" w:hint="eastAsia"/>
                <w:sz w:val="24"/>
                <w:szCs w:val="24"/>
                <w:rtl/>
              </w:rPr>
              <w:t>‏‏</w:t>
            </w:r>
            <w:r>
              <w:rPr>
                <w:rFonts w:cs="David" w:hint="cs"/>
                <w:sz w:val="24"/>
                <w:szCs w:val="24"/>
                <w:rtl/>
              </w:rPr>
              <w:t>22</w:t>
            </w:r>
            <w:r w:rsidRPr="006702C1">
              <w:rPr>
                <w:rFonts w:cs="David"/>
                <w:sz w:val="24"/>
                <w:szCs w:val="24"/>
                <w:rtl/>
              </w:rPr>
              <w:t xml:space="preserve"> </w:t>
            </w:r>
            <w:r>
              <w:rPr>
                <w:rFonts w:cs="David" w:hint="cs"/>
                <w:sz w:val="24"/>
                <w:szCs w:val="24"/>
                <w:rtl/>
              </w:rPr>
              <w:t>מרץ</w:t>
            </w:r>
            <w:r>
              <w:rPr>
                <w:rFonts w:cs="David"/>
                <w:sz w:val="24"/>
                <w:szCs w:val="24"/>
                <w:rtl/>
              </w:rPr>
              <w:t xml:space="preserve"> 201</w:t>
            </w:r>
            <w:r>
              <w:rPr>
                <w:rFonts w:cs="David" w:hint="cs"/>
                <w:sz w:val="24"/>
                <w:szCs w:val="24"/>
                <w:rtl/>
              </w:rPr>
              <w:t>7</w:t>
            </w:r>
          </w:p>
        </w:tc>
      </w:tr>
    </w:tbl>
    <w:p w:rsidR="001A5F73" w:rsidRDefault="001A5F73" w:rsidP="00491EAA">
      <w:pPr>
        <w:spacing w:after="240" w:line="360" w:lineRule="auto"/>
        <w:ind w:left="56" w:right="-101"/>
        <w:rPr>
          <w:rFonts w:cs="David"/>
          <w:sz w:val="24"/>
          <w:szCs w:val="24"/>
          <w:rtl/>
        </w:rPr>
      </w:pPr>
    </w:p>
    <w:p w:rsidR="001A5F73" w:rsidRDefault="001A5F73" w:rsidP="001A5F73">
      <w:pPr>
        <w:spacing w:line="360" w:lineRule="auto"/>
        <w:jc w:val="center"/>
        <w:rPr>
          <w:rFonts w:ascii="Tahoma" w:hAnsi="Tahoma" w:cs="Tahoma"/>
          <w:b/>
          <w:bCs/>
          <w:color w:val="FF0000"/>
          <w:sz w:val="24"/>
          <w:szCs w:val="24"/>
          <w:rtl/>
        </w:rPr>
      </w:pPr>
    </w:p>
    <w:p w:rsidR="00491EAA" w:rsidRDefault="00491EAA" w:rsidP="00491EAA">
      <w:pPr>
        <w:spacing w:after="240" w:line="360" w:lineRule="auto"/>
        <w:ind w:left="56" w:right="-101"/>
        <w:rPr>
          <w:rFonts w:cs="David"/>
          <w:sz w:val="24"/>
          <w:szCs w:val="24"/>
          <w:rtl/>
        </w:rPr>
      </w:pPr>
      <w:r>
        <w:rPr>
          <w:rFonts w:cs="David" w:hint="cs"/>
          <w:sz w:val="24"/>
          <w:szCs w:val="24"/>
          <w:rtl/>
        </w:rPr>
        <w:t>הודעה לעיתונות:</w:t>
      </w:r>
    </w:p>
    <w:p w:rsidR="00491EAA" w:rsidRDefault="00491EAA" w:rsidP="00491EAA">
      <w:pPr>
        <w:ind w:firstLine="368"/>
        <w:jc w:val="center"/>
        <w:rPr>
          <w:rFonts w:cs="David"/>
          <w:b/>
          <w:bCs/>
          <w:sz w:val="28"/>
          <w:szCs w:val="28"/>
          <w:rtl/>
        </w:rPr>
      </w:pPr>
      <w:r w:rsidRPr="00D2156C">
        <w:rPr>
          <w:rFonts w:cs="David" w:hint="cs"/>
          <w:b/>
          <w:bCs/>
          <w:sz w:val="28"/>
          <w:szCs w:val="28"/>
          <w:rtl/>
        </w:rPr>
        <w:t>ניתוח ההתפתחויות הפיסקליות בשנת 2016, תמונת המצב הפיסקלית ל</w:t>
      </w:r>
      <w:r w:rsidRPr="00D2156C">
        <w:rPr>
          <w:rFonts w:cs="David" w:hint="eastAsia"/>
          <w:b/>
          <w:bCs/>
          <w:sz w:val="28"/>
          <w:szCs w:val="28"/>
          <w:rtl/>
        </w:rPr>
        <w:t>שנ</w:t>
      </w:r>
      <w:r w:rsidRPr="00D2156C">
        <w:rPr>
          <w:rFonts w:cs="David" w:hint="cs"/>
          <w:b/>
          <w:bCs/>
          <w:sz w:val="28"/>
          <w:szCs w:val="28"/>
          <w:rtl/>
        </w:rPr>
        <w:t>ת</w:t>
      </w:r>
      <w:r w:rsidRPr="00D2156C">
        <w:rPr>
          <w:rFonts w:cs="David"/>
          <w:b/>
          <w:bCs/>
          <w:sz w:val="28"/>
          <w:szCs w:val="28"/>
          <w:rtl/>
        </w:rPr>
        <w:t xml:space="preserve"> </w:t>
      </w:r>
      <w:r w:rsidRPr="00D2156C">
        <w:rPr>
          <w:rFonts w:cs="David" w:hint="cs"/>
          <w:b/>
          <w:bCs/>
          <w:sz w:val="28"/>
          <w:szCs w:val="28"/>
          <w:rtl/>
        </w:rPr>
        <w:t>2017, והמגמות הצפויות להמשך העשור</w:t>
      </w:r>
    </w:p>
    <w:p w:rsidR="00491EAA" w:rsidRDefault="00491EAA" w:rsidP="00491EAA">
      <w:pPr>
        <w:spacing w:line="360" w:lineRule="auto"/>
        <w:contextualSpacing/>
        <w:jc w:val="both"/>
        <w:rPr>
          <w:rFonts w:asciiTheme="minorHAnsi" w:eastAsiaTheme="minorHAnsi" w:hAnsiTheme="minorHAnsi" w:cs="David"/>
          <w:b/>
          <w:bCs/>
          <w:sz w:val="24"/>
          <w:szCs w:val="24"/>
          <w:rtl/>
        </w:rPr>
      </w:pPr>
    </w:p>
    <w:p w:rsidR="00705D49" w:rsidRPr="00705D49" w:rsidRDefault="00705D49" w:rsidP="00491EAA">
      <w:pPr>
        <w:numPr>
          <w:ilvl w:val="0"/>
          <w:numId w:val="1"/>
        </w:numPr>
        <w:spacing w:line="360" w:lineRule="auto"/>
        <w:ind w:left="509" w:hanging="283"/>
        <w:contextualSpacing/>
        <w:jc w:val="both"/>
        <w:rPr>
          <w:rFonts w:asciiTheme="minorHAnsi" w:eastAsiaTheme="minorHAnsi" w:hAnsiTheme="minorHAnsi" w:cs="David"/>
          <w:b/>
          <w:bCs/>
          <w:sz w:val="24"/>
          <w:szCs w:val="24"/>
        </w:rPr>
      </w:pPr>
      <w:r w:rsidRPr="00705D49">
        <w:rPr>
          <w:rFonts w:asciiTheme="minorHAnsi" w:eastAsiaTheme="minorHAnsi" w:hAnsiTheme="minorHAnsi" w:cs="David" w:hint="cs"/>
          <w:b/>
          <w:bCs/>
          <w:sz w:val="24"/>
          <w:szCs w:val="24"/>
          <w:rtl/>
        </w:rPr>
        <w:t>הממשלה סיימה את שנת 2016 עם גירעון של 2.1 אחוזי תוצר, דומה לשנת 2015 ונמוך משמעותית מתקרת הגירעון שנקבעה בתקציב. יחס החוב הציבורי לתוצר ירד לכ-62 אחוזים.</w:t>
      </w:r>
    </w:p>
    <w:p w:rsidR="00705D49" w:rsidRPr="00705D49" w:rsidRDefault="00705D49" w:rsidP="00491EAA">
      <w:pPr>
        <w:numPr>
          <w:ilvl w:val="0"/>
          <w:numId w:val="1"/>
        </w:numPr>
        <w:spacing w:line="360" w:lineRule="auto"/>
        <w:ind w:left="509" w:hanging="283"/>
        <w:contextualSpacing/>
        <w:jc w:val="both"/>
        <w:rPr>
          <w:rFonts w:asciiTheme="minorHAnsi" w:eastAsiaTheme="minorHAnsi" w:hAnsiTheme="minorHAnsi" w:cs="David"/>
          <w:b/>
          <w:bCs/>
          <w:sz w:val="24"/>
          <w:szCs w:val="24"/>
        </w:rPr>
      </w:pPr>
      <w:r w:rsidRPr="00705D49">
        <w:rPr>
          <w:rFonts w:asciiTheme="minorHAnsi" w:eastAsiaTheme="minorHAnsi" w:hAnsiTheme="minorHAnsi" w:cs="David" w:hint="cs"/>
          <w:b/>
          <w:bCs/>
          <w:sz w:val="24"/>
          <w:szCs w:val="24"/>
          <w:rtl/>
        </w:rPr>
        <w:t xml:space="preserve">הגירעון הנמוך מהיעד שיקף: 1) תקבולים גבוהים מהצפוי ממסים, שנבעו מהצמיחה המהירה מהצפוי, מהשיפור בתנאי הסחר של ישראל ומגידול חריג ביבוא כלי רכב </w:t>
      </w:r>
      <w:r w:rsidRPr="00705D49">
        <w:rPr>
          <w:rFonts w:asciiTheme="minorHAnsi" w:eastAsiaTheme="minorHAnsi" w:hAnsiTheme="minorHAnsi" w:cs="David"/>
          <w:b/>
          <w:bCs/>
          <w:sz w:val="24"/>
          <w:szCs w:val="24"/>
          <w:rtl/>
        </w:rPr>
        <w:t>–</w:t>
      </w:r>
      <w:r w:rsidRPr="00705D49">
        <w:rPr>
          <w:rFonts w:asciiTheme="minorHAnsi" w:eastAsiaTheme="minorHAnsi" w:hAnsiTheme="minorHAnsi" w:cs="David" w:hint="cs"/>
          <w:b/>
          <w:bCs/>
          <w:sz w:val="24"/>
          <w:szCs w:val="24"/>
          <w:rtl/>
        </w:rPr>
        <w:t xml:space="preserve"> מוצר שהוא עתיר מס; 2) עודפים בפעילות המוסד לביטוח לאומי ששיקפו </w:t>
      </w:r>
      <w:r w:rsidR="00C26D88">
        <w:rPr>
          <w:rFonts w:asciiTheme="minorHAnsi" w:eastAsiaTheme="minorHAnsi" w:hAnsiTheme="minorHAnsi" w:cs="David" w:hint="cs"/>
          <w:b/>
          <w:bCs/>
          <w:sz w:val="24"/>
          <w:szCs w:val="24"/>
          <w:rtl/>
        </w:rPr>
        <w:t>אומדן</w:t>
      </w:r>
      <w:r w:rsidRPr="00705D49">
        <w:rPr>
          <w:rFonts w:asciiTheme="minorHAnsi" w:eastAsiaTheme="minorHAnsi" w:hAnsiTheme="minorHAnsi" w:cs="David" w:hint="cs"/>
          <w:b/>
          <w:bCs/>
          <w:sz w:val="24"/>
          <w:szCs w:val="24"/>
          <w:rtl/>
        </w:rPr>
        <w:t xml:space="preserve"> יתר של תשלומי הקצבאות; 3) רמת הוצאות נמוכה </w:t>
      </w:r>
      <w:r w:rsidR="00CC0EC9">
        <w:rPr>
          <w:rFonts w:asciiTheme="minorHAnsi" w:eastAsiaTheme="minorHAnsi" w:hAnsiTheme="minorHAnsi" w:cs="David" w:hint="cs"/>
          <w:b/>
          <w:bCs/>
          <w:sz w:val="24"/>
          <w:szCs w:val="24"/>
          <w:rtl/>
        </w:rPr>
        <w:t>במקצת</w:t>
      </w:r>
      <w:r w:rsidRPr="00705D49">
        <w:rPr>
          <w:rFonts w:asciiTheme="minorHAnsi" w:eastAsiaTheme="minorHAnsi" w:hAnsiTheme="minorHAnsi" w:cs="David" w:hint="cs"/>
          <w:b/>
          <w:bCs/>
          <w:sz w:val="24"/>
          <w:szCs w:val="24"/>
          <w:rtl/>
        </w:rPr>
        <w:t xml:space="preserve"> מזו שתוקצבה.</w:t>
      </w:r>
    </w:p>
    <w:p w:rsidR="00705D49" w:rsidRPr="00705D49" w:rsidRDefault="00705D49" w:rsidP="00491EAA">
      <w:pPr>
        <w:numPr>
          <w:ilvl w:val="0"/>
          <w:numId w:val="1"/>
        </w:numPr>
        <w:spacing w:line="360" w:lineRule="auto"/>
        <w:ind w:left="509" w:hanging="283"/>
        <w:contextualSpacing/>
        <w:jc w:val="both"/>
        <w:rPr>
          <w:rFonts w:asciiTheme="minorHAnsi" w:eastAsiaTheme="minorHAnsi" w:hAnsiTheme="minorHAnsi" w:cs="David"/>
          <w:b/>
          <w:bCs/>
          <w:sz w:val="24"/>
          <w:szCs w:val="24"/>
        </w:rPr>
      </w:pPr>
      <w:r w:rsidRPr="00705D49">
        <w:rPr>
          <w:rFonts w:asciiTheme="minorHAnsi" w:eastAsiaTheme="minorHAnsi" w:hAnsiTheme="minorHAnsi" w:cs="David" w:hint="cs"/>
          <w:b/>
          <w:bCs/>
          <w:sz w:val="24"/>
          <w:szCs w:val="24"/>
          <w:rtl/>
        </w:rPr>
        <w:t>תקרת הגירעון לשנים 2017 ו-2018 נקבעה ברמה של 2.9 אחוזי תוצר, אך מסתמן כי הגירעון ב-2017 יהיה נמוך יותר, כ-2.5 אחוזי תוצר, וגם ב-2018 הגירעון צפוי להיות מעט נמוך מהתקרה.</w:t>
      </w:r>
    </w:p>
    <w:p w:rsidR="00705D49" w:rsidRPr="00705D49" w:rsidRDefault="00705D49" w:rsidP="00491EAA">
      <w:pPr>
        <w:numPr>
          <w:ilvl w:val="0"/>
          <w:numId w:val="1"/>
        </w:numPr>
        <w:spacing w:line="360" w:lineRule="auto"/>
        <w:ind w:left="509" w:hanging="283"/>
        <w:contextualSpacing/>
        <w:jc w:val="both"/>
        <w:rPr>
          <w:rFonts w:asciiTheme="minorHAnsi" w:eastAsiaTheme="minorHAnsi" w:hAnsiTheme="minorHAnsi" w:cs="David"/>
          <w:b/>
          <w:bCs/>
          <w:sz w:val="24"/>
          <w:szCs w:val="24"/>
        </w:rPr>
      </w:pPr>
      <w:r w:rsidRPr="00705D49">
        <w:rPr>
          <w:rFonts w:asciiTheme="minorHAnsi" w:eastAsiaTheme="minorHAnsi" w:hAnsiTheme="minorHAnsi" w:cs="David" w:hint="cs"/>
          <w:b/>
          <w:bCs/>
          <w:sz w:val="24"/>
          <w:szCs w:val="24"/>
          <w:rtl/>
        </w:rPr>
        <w:t xml:space="preserve">רמת הגירעון הנמוכה מהיעד נתמכת בכך שהמשק מצוי כיום בסביבת תעסוקה מלאה, ובתרומה הניכרת של תקבולי המס משוקי הנדל"ן והרכב התנודתיים </w:t>
      </w:r>
      <w:r w:rsidRPr="00705D49">
        <w:rPr>
          <w:rFonts w:asciiTheme="minorHAnsi" w:eastAsiaTheme="minorHAnsi" w:hAnsiTheme="minorHAnsi" w:cs="David"/>
          <w:b/>
          <w:bCs/>
          <w:sz w:val="24"/>
          <w:szCs w:val="24"/>
          <w:rtl/>
        </w:rPr>
        <w:t>–</w:t>
      </w:r>
      <w:r w:rsidRPr="00705D49">
        <w:rPr>
          <w:rFonts w:asciiTheme="minorHAnsi" w:eastAsiaTheme="minorHAnsi" w:hAnsiTheme="minorHAnsi" w:cs="David" w:hint="cs"/>
          <w:b/>
          <w:bCs/>
          <w:sz w:val="24"/>
          <w:szCs w:val="24"/>
          <w:rtl/>
        </w:rPr>
        <w:t xml:space="preserve"> שגדלה בין 2012 ל-2016 ב-0.8 אחוז תוצר.</w:t>
      </w:r>
    </w:p>
    <w:p w:rsidR="00705D49" w:rsidRPr="00705D49" w:rsidRDefault="00705D49" w:rsidP="00491EAA">
      <w:pPr>
        <w:numPr>
          <w:ilvl w:val="0"/>
          <w:numId w:val="1"/>
        </w:numPr>
        <w:spacing w:line="360" w:lineRule="auto"/>
        <w:ind w:left="509" w:hanging="283"/>
        <w:contextualSpacing/>
        <w:jc w:val="both"/>
        <w:rPr>
          <w:rFonts w:asciiTheme="minorHAnsi" w:eastAsiaTheme="minorHAnsi" w:hAnsiTheme="minorHAnsi" w:cs="David"/>
          <w:b/>
          <w:bCs/>
          <w:sz w:val="24"/>
          <w:szCs w:val="24"/>
        </w:rPr>
      </w:pPr>
      <w:r w:rsidRPr="00705D49">
        <w:rPr>
          <w:rFonts w:asciiTheme="minorHAnsi" w:eastAsiaTheme="minorHAnsi" w:hAnsiTheme="minorHAnsi" w:cs="David" w:hint="cs"/>
          <w:b/>
          <w:bCs/>
          <w:sz w:val="24"/>
          <w:szCs w:val="24"/>
          <w:rtl/>
        </w:rPr>
        <w:t>שיעור ההוצאה האזרחית ללא ריבית בישראל הוא עדיין כמעט הנמוך ביותר בקרב מדינות ה-</w:t>
      </w:r>
      <w:r w:rsidRPr="00705D49">
        <w:rPr>
          <w:rFonts w:asciiTheme="minorHAnsi" w:eastAsiaTheme="minorHAnsi" w:hAnsiTheme="minorHAnsi" w:cs="David"/>
          <w:b/>
          <w:bCs/>
          <w:sz w:val="24"/>
          <w:szCs w:val="24"/>
        </w:rPr>
        <w:t>OECD</w:t>
      </w:r>
      <w:r w:rsidRPr="00705D49">
        <w:rPr>
          <w:rFonts w:asciiTheme="minorHAnsi" w:eastAsiaTheme="minorHAnsi" w:hAnsiTheme="minorHAnsi" w:cs="David" w:hint="cs"/>
          <w:b/>
          <w:bCs/>
          <w:sz w:val="24"/>
          <w:szCs w:val="24"/>
          <w:rtl/>
        </w:rPr>
        <w:t xml:space="preserve"> ומקשה על הממשלה להפנות משאבים לצעדי מדיניות שיבססו את צמיחת המשק לטווח הארוך. עם זאת, בשני התקציבים האחרונים הממשלה הגדילה בשיעור ניכר את ההוצאה האזרחית ללא ריבית </w:t>
      </w:r>
      <w:r w:rsidRPr="00BE63EB">
        <w:rPr>
          <w:rFonts w:asciiTheme="minorHAnsi" w:eastAsiaTheme="minorHAnsi" w:hAnsiTheme="minorHAnsi" w:cs="David" w:hint="cs"/>
          <w:b/>
          <w:bCs/>
          <w:sz w:val="24"/>
          <w:szCs w:val="24"/>
          <w:rtl/>
        </w:rPr>
        <w:t xml:space="preserve">ומשקלה בתוצר צפוי לעלות </w:t>
      </w:r>
      <w:proofErr w:type="spellStart"/>
      <w:r w:rsidR="00B6192E" w:rsidRPr="00BE63EB">
        <w:rPr>
          <w:rFonts w:asciiTheme="minorHAnsi" w:eastAsiaTheme="minorHAnsi" w:hAnsiTheme="minorHAnsi" w:cs="David" w:hint="cs"/>
          <w:b/>
          <w:bCs/>
          <w:sz w:val="24"/>
          <w:szCs w:val="24"/>
          <w:rtl/>
        </w:rPr>
        <w:t>בכאחוז</w:t>
      </w:r>
      <w:proofErr w:type="spellEnd"/>
      <w:r w:rsidR="00B6192E" w:rsidRPr="00BE63EB">
        <w:rPr>
          <w:rFonts w:asciiTheme="minorHAnsi" w:eastAsiaTheme="minorHAnsi" w:hAnsiTheme="minorHAnsi" w:cs="David" w:hint="cs"/>
          <w:b/>
          <w:bCs/>
          <w:sz w:val="24"/>
          <w:szCs w:val="24"/>
          <w:rtl/>
        </w:rPr>
        <w:t xml:space="preserve"> אחד מהתוצר</w:t>
      </w:r>
      <w:r w:rsidRPr="00705D49">
        <w:rPr>
          <w:rFonts w:asciiTheme="minorHAnsi" w:eastAsiaTheme="minorHAnsi" w:hAnsiTheme="minorHAnsi" w:cs="David" w:hint="cs"/>
          <w:b/>
          <w:bCs/>
          <w:sz w:val="24"/>
          <w:szCs w:val="24"/>
          <w:rtl/>
        </w:rPr>
        <w:t>. הרחבה זו משקפת את ההחלטה לשחרר את מגבלת ההוצאה, הן באופן ישיר והן בדרכים עקיפות, את הגידול המתון בהוצאות הביטחון ואת הירידה בתשלומי הריבית.</w:t>
      </w:r>
    </w:p>
    <w:p w:rsidR="00705D49" w:rsidRPr="00705D49" w:rsidRDefault="00705D49" w:rsidP="00491EAA">
      <w:pPr>
        <w:numPr>
          <w:ilvl w:val="0"/>
          <w:numId w:val="1"/>
        </w:numPr>
        <w:spacing w:line="360" w:lineRule="auto"/>
        <w:ind w:left="509" w:hanging="283"/>
        <w:contextualSpacing/>
        <w:jc w:val="both"/>
        <w:rPr>
          <w:rFonts w:asciiTheme="minorHAnsi" w:eastAsiaTheme="minorHAnsi" w:hAnsiTheme="minorHAnsi" w:cs="David"/>
          <w:b/>
          <w:bCs/>
          <w:sz w:val="24"/>
          <w:szCs w:val="24"/>
        </w:rPr>
      </w:pPr>
      <w:r w:rsidRPr="00705D49">
        <w:rPr>
          <w:rFonts w:asciiTheme="minorHAnsi" w:eastAsiaTheme="minorHAnsi" w:hAnsiTheme="minorHAnsi" w:cs="David" w:hint="cs"/>
          <w:b/>
          <w:bCs/>
          <w:sz w:val="24"/>
          <w:szCs w:val="24"/>
          <w:rtl/>
        </w:rPr>
        <w:t>על פי מנגנון הבקרה הרב-שנתי על מצרפי התקציב ("הנומרטור"), הממשלה צריכה לוודא שהחלטותיה אינן מוליכות לחריגה מתקרות ההוצאה והגירעון גם בשנים העוקבות לתקציב השוטף. בשלב זה נראה כי המנגנון תרם לשיפור הבקרה על התקציב.</w:t>
      </w:r>
    </w:p>
    <w:p w:rsidR="00705D49" w:rsidRPr="00705D49" w:rsidRDefault="00705D49" w:rsidP="00497161">
      <w:pPr>
        <w:numPr>
          <w:ilvl w:val="0"/>
          <w:numId w:val="1"/>
        </w:numPr>
        <w:spacing w:line="360" w:lineRule="auto"/>
        <w:ind w:left="509" w:hanging="283"/>
        <w:contextualSpacing/>
        <w:jc w:val="both"/>
        <w:rPr>
          <w:rFonts w:asciiTheme="minorHAnsi" w:eastAsiaTheme="minorHAnsi" w:hAnsiTheme="minorHAnsi" w:cs="David"/>
          <w:b/>
          <w:bCs/>
          <w:sz w:val="24"/>
          <w:szCs w:val="24"/>
        </w:rPr>
      </w:pPr>
      <w:r w:rsidRPr="00705D49">
        <w:rPr>
          <w:rFonts w:asciiTheme="minorHAnsi" w:eastAsiaTheme="minorHAnsi" w:hAnsiTheme="minorHAnsi" w:cs="David" w:hint="cs"/>
          <w:b/>
          <w:bCs/>
          <w:sz w:val="24"/>
          <w:szCs w:val="24"/>
          <w:rtl/>
        </w:rPr>
        <w:t xml:space="preserve">על סמך ההחלטות שהתקבלו עד כה ההוצאות הצפויות ב-2019 דומות לתקרה, אך אלו הצפויות ב-2020 כבר גבוהות ממנה בלפחות </w:t>
      </w:r>
      <w:r w:rsidR="00497161">
        <w:rPr>
          <w:rFonts w:asciiTheme="minorHAnsi" w:eastAsiaTheme="minorHAnsi" w:hAnsiTheme="minorHAnsi" w:cs="David" w:hint="cs"/>
          <w:b/>
          <w:bCs/>
          <w:sz w:val="24"/>
          <w:szCs w:val="24"/>
          <w:rtl/>
        </w:rPr>
        <w:t>2</w:t>
      </w:r>
      <w:bookmarkStart w:id="0" w:name="_GoBack"/>
      <w:bookmarkEnd w:id="0"/>
      <w:r w:rsidRPr="00705D49">
        <w:rPr>
          <w:rFonts w:asciiTheme="minorHAnsi" w:eastAsiaTheme="minorHAnsi" w:hAnsiTheme="minorHAnsi" w:cs="David" w:hint="cs"/>
          <w:b/>
          <w:bCs/>
          <w:sz w:val="24"/>
          <w:szCs w:val="24"/>
          <w:rtl/>
        </w:rPr>
        <w:t xml:space="preserve"> מיליארדי ₪. הגירעון הצפוי בשתי השנים חורג מהתקרה הקבועה בחוק גם בהנחה שרמת הפעילות הגבוהה תישמר. </w:t>
      </w:r>
    </w:p>
    <w:p w:rsidR="00705D49" w:rsidRDefault="00705D49" w:rsidP="00491EAA">
      <w:pPr>
        <w:numPr>
          <w:ilvl w:val="0"/>
          <w:numId w:val="1"/>
        </w:numPr>
        <w:spacing w:line="360" w:lineRule="auto"/>
        <w:ind w:left="509" w:hanging="283"/>
        <w:contextualSpacing/>
        <w:jc w:val="both"/>
        <w:rPr>
          <w:rFonts w:asciiTheme="minorHAnsi" w:eastAsiaTheme="minorHAnsi" w:hAnsiTheme="minorHAnsi" w:cs="David"/>
          <w:b/>
          <w:bCs/>
          <w:sz w:val="24"/>
          <w:szCs w:val="24"/>
        </w:rPr>
      </w:pPr>
      <w:r w:rsidRPr="00705D49">
        <w:rPr>
          <w:rFonts w:asciiTheme="minorHAnsi" w:eastAsiaTheme="minorHAnsi" w:hAnsiTheme="minorHAnsi" w:cs="David" w:hint="cs"/>
          <w:b/>
          <w:bCs/>
          <w:sz w:val="24"/>
          <w:szCs w:val="24"/>
          <w:rtl/>
        </w:rPr>
        <w:t xml:space="preserve">מכיוון שהגירעון הצפוי בטווח הבינוני גבוה מהתקרה הקבועה בחוק, החלטות ממשלה על הפחתות מיסים או הגדלת הוצאות שיגדילו בצורה פרמננטית את הגירעון צריכות להיות מלוות בצעדים שיקזזו את </w:t>
      </w:r>
      <w:proofErr w:type="spellStart"/>
      <w:r w:rsidRPr="00705D49">
        <w:rPr>
          <w:rFonts w:asciiTheme="minorHAnsi" w:eastAsiaTheme="minorHAnsi" w:hAnsiTheme="minorHAnsi" w:cs="David" w:hint="cs"/>
          <w:b/>
          <w:bCs/>
          <w:sz w:val="24"/>
          <w:szCs w:val="24"/>
          <w:rtl/>
        </w:rPr>
        <w:t>העליה</w:t>
      </w:r>
      <w:proofErr w:type="spellEnd"/>
      <w:r w:rsidRPr="00705D49">
        <w:rPr>
          <w:rFonts w:asciiTheme="minorHAnsi" w:eastAsiaTheme="minorHAnsi" w:hAnsiTheme="minorHAnsi" w:cs="David" w:hint="cs"/>
          <w:b/>
          <w:bCs/>
          <w:sz w:val="24"/>
          <w:szCs w:val="24"/>
          <w:rtl/>
        </w:rPr>
        <w:t xml:space="preserve">. </w:t>
      </w:r>
    </w:p>
    <w:p w:rsidR="00705D49" w:rsidRPr="00705D49" w:rsidRDefault="00705D49" w:rsidP="00491EAA">
      <w:pPr>
        <w:numPr>
          <w:ilvl w:val="0"/>
          <w:numId w:val="1"/>
        </w:numPr>
        <w:spacing w:line="360" w:lineRule="auto"/>
        <w:ind w:left="509" w:hanging="283"/>
        <w:contextualSpacing/>
        <w:jc w:val="both"/>
        <w:rPr>
          <w:rFonts w:asciiTheme="minorHAnsi" w:eastAsiaTheme="minorHAnsi" w:hAnsiTheme="minorHAnsi" w:cs="David"/>
          <w:b/>
          <w:bCs/>
          <w:sz w:val="24"/>
          <w:szCs w:val="24"/>
          <w:rtl/>
        </w:rPr>
      </w:pPr>
      <w:r w:rsidRPr="00705D49">
        <w:rPr>
          <w:rFonts w:asciiTheme="minorHAnsi" w:eastAsiaTheme="minorHAnsi" w:hAnsiTheme="minorHAnsi" w:cs="David" w:hint="cs"/>
          <w:b/>
          <w:bCs/>
          <w:sz w:val="24"/>
          <w:szCs w:val="24"/>
          <w:rtl/>
        </w:rPr>
        <w:t>הגירעון הנמוך בשנתיים האחרונות תמך בירידת יחס החוב לתוצר, אך רוב הירידה בו בשנים האחרונות שיקפה עלייה מהירה של מחירי התוצר ביחס למדד המחירים לצרכן, פירעון חובות של הציבור לממשלה ותקבולים ממכירת קרקעות. לאורך זמן, אין להניח שמקורות אלו יוכלו להמשיך לתרום משמעותית לתהליך הפחתת יחס החוב לתוצר.</w:t>
      </w:r>
    </w:p>
    <w:p w:rsidR="00705D49" w:rsidRDefault="00705D49" w:rsidP="00491EAA">
      <w:pPr>
        <w:spacing w:after="120" w:line="360" w:lineRule="auto"/>
        <w:jc w:val="both"/>
        <w:rPr>
          <w:rFonts w:cs="David"/>
          <w:sz w:val="24"/>
          <w:szCs w:val="24"/>
          <w:rtl/>
        </w:rPr>
      </w:pPr>
    </w:p>
    <w:p w:rsidR="0064103B" w:rsidRPr="00632F67" w:rsidRDefault="00CE4D89" w:rsidP="00491EAA">
      <w:pPr>
        <w:spacing w:after="120" w:line="360" w:lineRule="auto"/>
        <w:jc w:val="both"/>
        <w:rPr>
          <w:rFonts w:cs="David"/>
          <w:sz w:val="24"/>
          <w:szCs w:val="24"/>
          <w:rtl/>
        </w:rPr>
      </w:pPr>
      <w:r>
        <w:rPr>
          <w:rFonts w:cs="David" w:hint="cs"/>
          <w:sz w:val="24"/>
          <w:szCs w:val="24"/>
          <w:rtl/>
        </w:rPr>
        <w:lastRenderedPageBreak/>
        <w:t xml:space="preserve">בנק ישראל מפרסם היום </w:t>
      </w:r>
      <w:r w:rsidR="000C753A">
        <w:rPr>
          <w:rFonts w:cs="David" w:hint="cs"/>
          <w:sz w:val="24"/>
          <w:szCs w:val="24"/>
          <w:rtl/>
        </w:rPr>
        <w:t>את הסקירה הפיסקלית התקופתית מתוך המסמך "סקירה פיסקלית תקופתית ולקט ניתוחים מחקריים" שיפורסם בימים הקרובים.</w:t>
      </w:r>
    </w:p>
    <w:p w:rsidR="00E75BBB" w:rsidRPr="00C13BDD" w:rsidRDefault="00E75BBB" w:rsidP="00491EAA">
      <w:pPr>
        <w:spacing w:after="120" w:line="360" w:lineRule="auto"/>
        <w:jc w:val="both"/>
        <w:rPr>
          <w:rFonts w:cs="David"/>
          <w:sz w:val="24"/>
          <w:szCs w:val="24"/>
          <w:rtl/>
        </w:rPr>
      </w:pPr>
      <w:r>
        <w:rPr>
          <w:rFonts w:cs="David" w:hint="cs"/>
          <w:sz w:val="24"/>
          <w:szCs w:val="24"/>
          <w:rtl/>
        </w:rPr>
        <w:t xml:space="preserve">בסקירה הפיסקלית מנתחת חטיבת המחקר את התפתחות התקציב בשנת 2016 </w:t>
      </w:r>
      <w:r>
        <w:rPr>
          <w:rFonts w:cs="David"/>
          <w:sz w:val="24"/>
          <w:szCs w:val="24"/>
          <w:rtl/>
        </w:rPr>
        <w:t>–</w:t>
      </w:r>
      <w:r>
        <w:rPr>
          <w:rFonts w:cs="David" w:hint="cs"/>
          <w:sz w:val="24"/>
          <w:szCs w:val="24"/>
          <w:rtl/>
        </w:rPr>
        <w:t xml:space="preserve"> ואת ההתפתחות הצפויה של הוצאות הממשלה, הכנסותיה, הגירעון בתקציב המדינה ויחס החוב לתוצר</w:t>
      </w:r>
      <w:r w:rsidR="000C753A">
        <w:rPr>
          <w:rFonts w:cs="David" w:hint="cs"/>
          <w:sz w:val="24"/>
          <w:szCs w:val="24"/>
          <w:rtl/>
        </w:rPr>
        <w:t xml:space="preserve"> בשנים 2017 עד 2020.</w:t>
      </w:r>
      <w:r>
        <w:rPr>
          <w:rFonts w:cs="David" w:hint="cs"/>
          <w:sz w:val="24"/>
          <w:szCs w:val="24"/>
          <w:rtl/>
        </w:rPr>
        <w:t xml:space="preserve"> זאת על בסיס ההחלטות התקציביות שקיבלה הממשלה בעת אישור התקציבים לשנים 2017 ו-2018. מהניתוח עולה כי</w:t>
      </w:r>
      <w:r w:rsidR="00632F67" w:rsidRPr="00632F67">
        <w:rPr>
          <w:rFonts w:cs="David" w:hint="cs"/>
          <w:sz w:val="24"/>
          <w:szCs w:val="24"/>
          <w:rtl/>
        </w:rPr>
        <w:t xml:space="preserve"> </w:t>
      </w:r>
      <w:r w:rsidR="00632F67">
        <w:rPr>
          <w:rFonts w:cs="David" w:hint="cs"/>
          <w:sz w:val="24"/>
          <w:szCs w:val="24"/>
          <w:rtl/>
        </w:rPr>
        <w:t xml:space="preserve">הממשלה סיימה את שנת 2016 עם גירעון תקציבי של 2.1 אחוזי תוצר - דומה לשנת 2015 ונמוך משמעותית מתקרת הגירעון שנקבעה בתקציב, 2.9 אחוזי תוצר. הגירעון הנמוך מהיעד שיקף בעיקר הכנסות גבוהות משמעותית מתחזית התקציב המקורית, ובמידה פחותה גם רמת הוצאות נמוכה </w:t>
      </w:r>
      <w:r w:rsidR="00B20693">
        <w:rPr>
          <w:rFonts w:cs="David" w:hint="cs"/>
          <w:sz w:val="24"/>
          <w:szCs w:val="24"/>
          <w:rtl/>
        </w:rPr>
        <w:t xml:space="preserve">במקצת </w:t>
      </w:r>
      <w:r w:rsidR="00632F67">
        <w:rPr>
          <w:rFonts w:cs="David" w:hint="cs"/>
          <w:sz w:val="24"/>
          <w:szCs w:val="24"/>
          <w:rtl/>
        </w:rPr>
        <w:t xml:space="preserve">מזו שתוקצבה. יחס החוב לתוצר </w:t>
      </w:r>
      <w:r w:rsidR="00E923F6">
        <w:rPr>
          <w:rFonts w:cs="David" w:hint="cs"/>
          <w:sz w:val="24"/>
          <w:szCs w:val="24"/>
          <w:rtl/>
        </w:rPr>
        <w:t xml:space="preserve">ירד ב-1.8 אחוזי תוצר והגיע </w:t>
      </w:r>
      <w:r w:rsidR="00632F67">
        <w:rPr>
          <w:rFonts w:cs="David" w:hint="cs"/>
          <w:sz w:val="24"/>
          <w:szCs w:val="24"/>
          <w:rtl/>
        </w:rPr>
        <w:t>לכ-</w:t>
      </w:r>
      <w:r w:rsidR="00C13BDD">
        <w:rPr>
          <w:rFonts w:cs="David" w:hint="cs"/>
          <w:sz w:val="24"/>
          <w:szCs w:val="24"/>
          <w:rtl/>
        </w:rPr>
        <w:t>62</w:t>
      </w:r>
      <w:r w:rsidR="00632F67">
        <w:rPr>
          <w:rFonts w:cs="David" w:hint="cs"/>
          <w:sz w:val="24"/>
          <w:szCs w:val="24"/>
          <w:rtl/>
        </w:rPr>
        <w:t xml:space="preserve"> אחוזים</w:t>
      </w:r>
      <w:r w:rsidR="00C13BDD">
        <w:rPr>
          <w:rFonts w:cs="David" w:hint="cs"/>
          <w:sz w:val="24"/>
          <w:szCs w:val="24"/>
          <w:rtl/>
        </w:rPr>
        <w:t xml:space="preserve"> -</w:t>
      </w:r>
      <w:r w:rsidR="00C13BDD" w:rsidRPr="00C13BDD">
        <w:rPr>
          <w:rFonts w:cs="David" w:hint="cs"/>
          <w:sz w:val="24"/>
          <w:szCs w:val="24"/>
          <w:rtl/>
        </w:rPr>
        <w:t xml:space="preserve"> </w:t>
      </w:r>
      <w:r w:rsidR="00C13BDD">
        <w:rPr>
          <w:rFonts w:cs="David" w:hint="cs"/>
          <w:sz w:val="24"/>
          <w:szCs w:val="24"/>
          <w:rtl/>
        </w:rPr>
        <w:t>רמה נמוכה בהשוואה לרוב המדינות המפותחות. כמחצית מהירידה של יחס החוב לתוצר השנה הושגה בזכות הגירעון הנמוך ושחיקת מלאי החוב שהיה קיים בסוף 2015 ביחס לתוצר הנומינלי</w:t>
      </w:r>
      <w:r w:rsidR="00E923F6">
        <w:rPr>
          <w:rFonts w:cs="David" w:hint="cs"/>
          <w:sz w:val="24"/>
          <w:szCs w:val="24"/>
          <w:rtl/>
        </w:rPr>
        <w:t>,</w:t>
      </w:r>
      <w:r w:rsidR="00C13BDD">
        <w:rPr>
          <w:rFonts w:cs="David" w:hint="cs"/>
          <w:sz w:val="24"/>
          <w:szCs w:val="24"/>
          <w:rtl/>
        </w:rPr>
        <w:t xml:space="preserve"> ושאר הירידה נבעה מפירעון חובות של הציבור לממשלה, ומהעלייה המהירה של מחירי התוצר ביחס למדד המחירים לצרכן, שכמחצית מהחוב הציבורי צמודה אליו.</w:t>
      </w:r>
    </w:p>
    <w:p w:rsidR="00632F67" w:rsidRPr="00632F67" w:rsidRDefault="00632F67" w:rsidP="00491EAA">
      <w:pPr>
        <w:spacing w:after="120" w:line="360" w:lineRule="auto"/>
        <w:jc w:val="both"/>
        <w:rPr>
          <w:rFonts w:cs="David"/>
          <w:sz w:val="24"/>
          <w:szCs w:val="24"/>
          <w:rtl/>
        </w:rPr>
      </w:pPr>
      <w:r>
        <w:rPr>
          <w:rFonts w:cs="David" w:hint="cs"/>
          <w:sz w:val="24"/>
          <w:szCs w:val="24"/>
          <w:rtl/>
        </w:rPr>
        <w:t>ההכנסות הגבוהות מהצפוי ממיסים בשנת 2016 שיקפו בעיקר תקבולי מסים שהיו גבוהים מהתחזית המקורית בכ</w:t>
      </w:r>
      <w:r w:rsidR="00F32A31">
        <w:rPr>
          <w:rFonts w:cs="David" w:hint="cs"/>
          <w:sz w:val="24"/>
          <w:szCs w:val="24"/>
          <w:rtl/>
        </w:rPr>
        <w:t>-</w:t>
      </w:r>
      <w:r>
        <w:rPr>
          <w:rFonts w:cs="David" w:hint="cs"/>
          <w:sz w:val="24"/>
          <w:szCs w:val="24"/>
          <w:rtl/>
        </w:rPr>
        <w:t>7.5 מיליארדי</w:t>
      </w:r>
      <w:r w:rsidR="00F32A31">
        <w:rPr>
          <w:rFonts w:cs="David" w:hint="cs"/>
          <w:sz w:val="24"/>
          <w:szCs w:val="24"/>
          <w:rtl/>
        </w:rPr>
        <w:t xml:space="preserve"> ש"ח</w:t>
      </w:r>
      <w:r>
        <w:rPr>
          <w:rFonts w:cs="David" w:hint="cs"/>
          <w:sz w:val="24"/>
          <w:szCs w:val="24"/>
          <w:rtl/>
        </w:rPr>
        <w:t xml:space="preserve"> </w:t>
      </w:r>
      <w:r w:rsidR="00F32A31">
        <w:rPr>
          <w:rFonts w:cs="David" w:hint="cs"/>
          <w:sz w:val="24"/>
          <w:szCs w:val="24"/>
          <w:rtl/>
        </w:rPr>
        <w:t>(</w:t>
      </w:r>
      <w:r>
        <w:rPr>
          <w:rFonts w:cs="David" w:hint="cs"/>
          <w:sz w:val="24"/>
          <w:szCs w:val="24"/>
          <w:rtl/>
        </w:rPr>
        <w:t xml:space="preserve">בהתחשב בהפרשה הלא מתוכננת </w:t>
      </w:r>
      <w:r w:rsidR="00F32A31">
        <w:rPr>
          <w:rFonts w:cs="David" w:hint="cs"/>
          <w:sz w:val="24"/>
          <w:szCs w:val="24"/>
          <w:rtl/>
        </w:rPr>
        <w:t xml:space="preserve">של הממשלה </w:t>
      </w:r>
      <w:r>
        <w:rPr>
          <w:rFonts w:cs="David" w:hint="cs"/>
          <w:sz w:val="24"/>
          <w:szCs w:val="24"/>
          <w:rtl/>
        </w:rPr>
        <w:t>לקרן הפיצויים). מתוך הפער בין התחזית לבין הגביה בפועל, כ-4.5 מיליארדי ש</w:t>
      </w:r>
      <w:r>
        <w:rPr>
          <w:rFonts w:cs="David"/>
          <w:sz w:val="24"/>
          <w:szCs w:val="24"/>
          <w:rtl/>
        </w:rPr>
        <w:t>"</w:t>
      </w:r>
      <w:r>
        <w:rPr>
          <w:rFonts w:cs="David" w:hint="cs"/>
          <w:sz w:val="24"/>
          <w:szCs w:val="24"/>
          <w:rtl/>
        </w:rPr>
        <w:t>ח מוסברים על ידי גידול מהיר מהצפוי של התוצר הנומינלי</w:t>
      </w:r>
      <w:r w:rsidRPr="00632F67">
        <w:rPr>
          <w:rFonts w:cs="David" w:hint="cs"/>
          <w:sz w:val="24"/>
          <w:szCs w:val="24"/>
          <w:rtl/>
        </w:rPr>
        <w:t xml:space="preserve">. </w:t>
      </w:r>
      <w:r w:rsidR="00F32A31">
        <w:rPr>
          <w:rFonts w:cs="David" w:hint="cs"/>
          <w:sz w:val="24"/>
          <w:szCs w:val="24"/>
          <w:rtl/>
        </w:rPr>
        <w:t xml:space="preserve">פרט לכך, </w:t>
      </w:r>
      <w:r>
        <w:rPr>
          <w:rFonts w:cs="David" w:hint="cs"/>
          <w:sz w:val="24"/>
          <w:szCs w:val="24"/>
          <w:rtl/>
        </w:rPr>
        <w:t xml:space="preserve">המשתנה שהרים את התרומה הגדולה ביותר לגידול הלא צפוי בתקבולי המסים הוא יבוא מוצרי הצריכה </w:t>
      </w:r>
      <w:r>
        <w:rPr>
          <w:rFonts w:cs="David"/>
          <w:sz w:val="24"/>
          <w:szCs w:val="24"/>
          <w:rtl/>
        </w:rPr>
        <w:t>–</w:t>
      </w:r>
      <w:r>
        <w:rPr>
          <w:rFonts w:cs="David" w:hint="cs"/>
          <w:sz w:val="24"/>
          <w:szCs w:val="24"/>
          <w:rtl/>
        </w:rPr>
        <w:t xml:space="preserve"> בעיקר כלי רכב</w:t>
      </w:r>
      <w:r w:rsidR="00F32A31">
        <w:rPr>
          <w:rFonts w:cs="David" w:hint="cs"/>
          <w:sz w:val="24"/>
          <w:szCs w:val="24"/>
          <w:rtl/>
        </w:rPr>
        <w:t xml:space="preserve"> - ש</w:t>
      </w:r>
      <w:r>
        <w:rPr>
          <w:rFonts w:cs="David" w:hint="cs"/>
          <w:sz w:val="24"/>
          <w:szCs w:val="24"/>
          <w:rtl/>
        </w:rPr>
        <w:t>תרם כ-5 מיליארדי ש</w:t>
      </w:r>
      <w:r>
        <w:rPr>
          <w:rFonts w:cs="David"/>
          <w:sz w:val="24"/>
          <w:szCs w:val="24"/>
          <w:rtl/>
        </w:rPr>
        <w:t>"</w:t>
      </w:r>
      <w:r>
        <w:rPr>
          <w:rFonts w:cs="David" w:hint="cs"/>
          <w:sz w:val="24"/>
          <w:szCs w:val="24"/>
          <w:rtl/>
        </w:rPr>
        <w:t>ח לפער בין תחזית ההכנסות המקורית לגביה בפועל</w:t>
      </w:r>
      <w:r w:rsidRPr="00632F67">
        <w:rPr>
          <w:rFonts w:cs="David" w:hint="cs"/>
          <w:sz w:val="24"/>
          <w:szCs w:val="24"/>
          <w:rtl/>
        </w:rPr>
        <w:t xml:space="preserve">. </w:t>
      </w:r>
      <w:r w:rsidR="00DD6A76">
        <w:rPr>
          <w:rFonts w:cs="David" w:hint="cs"/>
          <w:sz w:val="24"/>
          <w:szCs w:val="24"/>
          <w:rtl/>
        </w:rPr>
        <w:t xml:space="preserve">ההכנסות </w:t>
      </w:r>
      <w:proofErr w:type="spellStart"/>
      <w:r w:rsidR="00DD6A76">
        <w:rPr>
          <w:rFonts w:cs="David" w:hint="cs"/>
          <w:sz w:val="24"/>
          <w:szCs w:val="24"/>
          <w:rtl/>
        </w:rPr>
        <w:t>ממסוי</w:t>
      </w:r>
      <w:proofErr w:type="spellEnd"/>
      <w:r w:rsidR="00DD6A76">
        <w:rPr>
          <w:rFonts w:cs="David" w:hint="cs"/>
          <w:sz w:val="24"/>
          <w:szCs w:val="24"/>
          <w:rtl/>
        </w:rPr>
        <w:t xml:space="preserve"> כלי רכב ב-2016 היו גבוהות בכ-0.35 אחוז תוצר מהממוצע בשנים 2012</w:t>
      </w:r>
      <w:r w:rsidR="00DD6A76">
        <w:rPr>
          <w:rFonts w:cs="David"/>
          <w:sz w:val="24"/>
          <w:szCs w:val="24"/>
          <w:rtl/>
        </w:rPr>
        <w:t>—</w:t>
      </w:r>
      <w:r w:rsidR="00DD6A76">
        <w:rPr>
          <w:rFonts w:cs="David" w:hint="cs"/>
          <w:sz w:val="24"/>
          <w:szCs w:val="24"/>
          <w:rtl/>
        </w:rPr>
        <w:t>2015, ו</w:t>
      </w:r>
      <w:r>
        <w:rPr>
          <w:rFonts w:cs="David" w:hint="cs"/>
          <w:sz w:val="24"/>
          <w:szCs w:val="24"/>
          <w:rtl/>
        </w:rPr>
        <w:t>משקל</w:t>
      </w:r>
      <w:r w:rsidR="00DD6A76">
        <w:rPr>
          <w:rFonts w:cs="David" w:hint="cs"/>
          <w:sz w:val="24"/>
          <w:szCs w:val="24"/>
          <w:rtl/>
        </w:rPr>
        <w:t>ן</w:t>
      </w:r>
      <w:r>
        <w:rPr>
          <w:rFonts w:cs="David" w:hint="cs"/>
          <w:sz w:val="24"/>
          <w:szCs w:val="24"/>
          <w:rtl/>
        </w:rPr>
        <w:t xml:space="preserve"> הגבוה בסך תקבולי המסים מצביע </w:t>
      </w:r>
      <w:r w:rsidR="00EF6696">
        <w:rPr>
          <w:rFonts w:cs="David" w:hint="cs"/>
          <w:sz w:val="24"/>
          <w:szCs w:val="24"/>
          <w:rtl/>
        </w:rPr>
        <w:t xml:space="preserve">על </w:t>
      </w:r>
      <w:r w:rsidR="00DD6A76">
        <w:rPr>
          <w:rFonts w:cs="David" w:hint="cs"/>
          <w:sz w:val="24"/>
          <w:szCs w:val="24"/>
          <w:rtl/>
        </w:rPr>
        <w:t>סיכון</w:t>
      </w:r>
      <w:r>
        <w:rPr>
          <w:rFonts w:cs="David" w:hint="cs"/>
          <w:sz w:val="24"/>
          <w:szCs w:val="24"/>
          <w:rtl/>
        </w:rPr>
        <w:t xml:space="preserve"> </w:t>
      </w:r>
      <w:r w:rsidR="00DD6A76">
        <w:rPr>
          <w:rFonts w:cs="David" w:hint="cs"/>
          <w:sz w:val="24"/>
          <w:szCs w:val="24"/>
          <w:rtl/>
        </w:rPr>
        <w:t>ל</w:t>
      </w:r>
      <w:r>
        <w:rPr>
          <w:rFonts w:cs="David" w:hint="cs"/>
          <w:sz w:val="24"/>
          <w:szCs w:val="24"/>
          <w:rtl/>
        </w:rPr>
        <w:t xml:space="preserve">רמת התקבולים הנוכחית אם היקף יבוא </w:t>
      </w:r>
      <w:r w:rsidR="00D06169">
        <w:rPr>
          <w:rFonts w:cs="David" w:hint="cs"/>
          <w:sz w:val="24"/>
          <w:szCs w:val="24"/>
          <w:rtl/>
        </w:rPr>
        <w:t xml:space="preserve">כלי הרכב ביחס לתוצר </w:t>
      </w:r>
      <w:r>
        <w:rPr>
          <w:rFonts w:cs="David" w:hint="cs"/>
          <w:sz w:val="24"/>
          <w:szCs w:val="24"/>
          <w:rtl/>
        </w:rPr>
        <w:t>יחזור לרמתו בשנים הקודמות.</w:t>
      </w:r>
    </w:p>
    <w:p w:rsidR="00632F67" w:rsidRDefault="00632F67" w:rsidP="00491EAA">
      <w:pPr>
        <w:spacing w:after="120" w:line="360" w:lineRule="auto"/>
        <w:jc w:val="both"/>
        <w:rPr>
          <w:rFonts w:cs="David"/>
          <w:sz w:val="24"/>
          <w:szCs w:val="24"/>
          <w:rtl/>
        </w:rPr>
      </w:pPr>
      <w:r>
        <w:rPr>
          <w:rFonts w:cs="David" w:hint="cs"/>
          <w:sz w:val="24"/>
          <w:szCs w:val="24"/>
          <w:rtl/>
        </w:rPr>
        <w:t xml:space="preserve">בנוסף להכנסות הגבוהות ממסי יבוא, הממשלה נהנית </w:t>
      </w:r>
      <w:r w:rsidR="00EF6696">
        <w:rPr>
          <w:rFonts w:cs="David" w:hint="cs"/>
          <w:sz w:val="24"/>
          <w:szCs w:val="24"/>
          <w:rtl/>
        </w:rPr>
        <w:t>ב</w:t>
      </w:r>
      <w:r>
        <w:rPr>
          <w:rFonts w:cs="David" w:hint="cs"/>
          <w:sz w:val="24"/>
          <w:szCs w:val="24"/>
          <w:rtl/>
        </w:rPr>
        <w:t>שנים האחרונות גם מגידול ניכר בהכנסות ממסי נדל"ן</w:t>
      </w:r>
      <w:r w:rsidR="00F32A31">
        <w:rPr>
          <w:rFonts w:cs="David" w:hint="cs"/>
          <w:sz w:val="24"/>
          <w:szCs w:val="24"/>
          <w:rtl/>
        </w:rPr>
        <w:t>,</w:t>
      </w:r>
      <w:r>
        <w:rPr>
          <w:rFonts w:cs="David" w:hint="cs"/>
          <w:sz w:val="24"/>
          <w:szCs w:val="24"/>
          <w:rtl/>
        </w:rPr>
        <w:t xml:space="preserve"> </w:t>
      </w:r>
      <w:r w:rsidR="00F32A31">
        <w:rPr>
          <w:rFonts w:cs="David" w:hint="cs"/>
          <w:sz w:val="24"/>
          <w:szCs w:val="24"/>
          <w:rtl/>
        </w:rPr>
        <w:t>ה</w:t>
      </w:r>
      <w:r>
        <w:rPr>
          <w:rFonts w:cs="David" w:hint="cs"/>
          <w:sz w:val="24"/>
          <w:szCs w:val="24"/>
          <w:rtl/>
        </w:rPr>
        <w:t>כוללות בעיקר את מס הרכישה, מס שבח, ומס ערך מוסף על דירות חדשות.</w:t>
      </w:r>
      <w:r>
        <w:rPr>
          <w:rStyle w:val="a6"/>
          <w:rFonts w:cs="David"/>
          <w:sz w:val="24"/>
          <w:szCs w:val="24"/>
          <w:rtl/>
        </w:rPr>
        <w:footnoteReference w:id="1"/>
      </w:r>
      <w:r>
        <w:rPr>
          <w:rFonts w:cs="David" w:hint="cs"/>
          <w:sz w:val="24"/>
          <w:szCs w:val="24"/>
          <w:rtl/>
        </w:rPr>
        <w:t xml:space="preserve"> ההכנסות ממסי הנדל"ן הת</w:t>
      </w:r>
      <w:r w:rsidR="00F83659">
        <w:rPr>
          <w:rFonts w:cs="David" w:hint="cs"/>
          <w:sz w:val="24"/>
          <w:szCs w:val="24"/>
          <w:rtl/>
        </w:rPr>
        <w:t>י</w:t>
      </w:r>
      <w:r>
        <w:rPr>
          <w:rFonts w:cs="David" w:hint="cs"/>
          <w:sz w:val="24"/>
          <w:szCs w:val="24"/>
          <w:rtl/>
        </w:rPr>
        <w:t>יצבו השנה (כאחוז מהתוצר) ברמה דומה לזו בה היו בשנת 2015, שהיא גבוהה משמעותית מאשר בשנים קודמות: כ-0.3 אחוז תוצר יותר מאשר הממוצע בשנים 2012</w:t>
      </w:r>
      <w:r>
        <w:rPr>
          <w:rFonts w:cs="David"/>
          <w:sz w:val="24"/>
          <w:szCs w:val="24"/>
          <w:rtl/>
        </w:rPr>
        <w:t>—</w:t>
      </w:r>
      <w:r>
        <w:rPr>
          <w:rFonts w:cs="David" w:hint="cs"/>
          <w:sz w:val="24"/>
          <w:szCs w:val="24"/>
          <w:rtl/>
        </w:rPr>
        <w:t>2015, ו-0.45 אחוז תוצר יותר מהממוצע בשנים 2009</w:t>
      </w:r>
      <w:r>
        <w:rPr>
          <w:rFonts w:cs="David"/>
          <w:sz w:val="24"/>
          <w:szCs w:val="24"/>
          <w:rtl/>
        </w:rPr>
        <w:t>—</w:t>
      </w:r>
      <w:r>
        <w:rPr>
          <w:rFonts w:cs="David" w:hint="cs"/>
          <w:sz w:val="24"/>
          <w:szCs w:val="24"/>
          <w:rtl/>
        </w:rPr>
        <w:t xml:space="preserve">2011 (איור </w:t>
      </w:r>
      <w:r w:rsidR="00DD6A76">
        <w:rPr>
          <w:rFonts w:cs="David" w:hint="cs"/>
          <w:sz w:val="24"/>
          <w:szCs w:val="24"/>
          <w:rtl/>
        </w:rPr>
        <w:t>1</w:t>
      </w:r>
      <w:r>
        <w:rPr>
          <w:rFonts w:cs="David" w:hint="cs"/>
          <w:sz w:val="24"/>
          <w:szCs w:val="24"/>
          <w:rtl/>
        </w:rPr>
        <w:t xml:space="preserve">). השילוב של ההכנסות הגבוהות מיבוא רכבים ונדל"ן </w:t>
      </w:r>
      <w:r>
        <w:rPr>
          <w:rFonts w:cs="David"/>
          <w:sz w:val="24"/>
          <w:szCs w:val="24"/>
          <w:rtl/>
        </w:rPr>
        <w:t>–</w:t>
      </w:r>
      <w:r>
        <w:rPr>
          <w:rFonts w:cs="David" w:hint="cs"/>
          <w:sz w:val="24"/>
          <w:szCs w:val="24"/>
          <w:rtl/>
        </w:rPr>
        <w:t xml:space="preserve"> שני רכיבים תנודתיים </w:t>
      </w:r>
      <w:r>
        <w:rPr>
          <w:rFonts w:cs="David"/>
          <w:sz w:val="24"/>
          <w:szCs w:val="24"/>
          <w:rtl/>
        </w:rPr>
        <w:t>–</w:t>
      </w:r>
      <w:r>
        <w:rPr>
          <w:rFonts w:cs="David" w:hint="cs"/>
          <w:sz w:val="24"/>
          <w:szCs w:val="24"/>
          <w:rtl/>
        </w:rPr>
        <w:t xml:space="preserve"> אחראי אם כך לתוספת כ-0.5 עד 0.7 אחוזי תוצר לתקבולי המסים בשנים האחרונות.</w:t>
      </w:r>
    </w:p>
    <w:p w:rsidR="009A3331" w:rsidRDefault="009A3331">
      <w:pPr>
        <w:bidi w:val="0"/>
        <w:rPr>
          <w:rFonts w:cs="David"/>
          <w:b/>
          <w:bCs/>
          <w:sz w:val="24"/>
          <w:szCs w:val="24"/>
          <w:rtl/>
        </w:rPr>
      </w:pPr>
      <w:r>
        <w:rPr>
          <w:rFonts w:cs="David"/>
          <w:b/>
          <w:bCs/>
          <w:sz w:val="24"/>
          <w:szCs w:val="24"/>
          <w:rtl/>
        </w:rPr>
        <w:br w:type="page"/>
      </w:r>
    </w:p>
    <w:p w:rsidR="00F83659" w:rsidRDefault="00F83659" w:rsidP="00491EAA">
      <w:pPr>
        <w:spacing w:after="120" w:line="360" w:lineRule="auto"/>
        <w:rPr>
          <w:rFonts w:cs="David"/>
          <w:b/>
          <w:bCs/>
          <w:sz w:val="24"/>
          <w:szCs w:val="24"/>
          <w:rtl/>
        </w:rPr>
      </w:pPr>
      <w:r w:rsidRPr="0075035C">
        <w:rPr>
          <w:rFonts w:cs="David" w:hint="cs"/>
          <w:b/>
          <w:bCs/>
          <w:sz w:val="24"/>
          <w:szCs w:val="24"/>
          <w:rtl/>
        </w:rPr>
        <w:lastRenderedPageBreak/>
        <w:t xml:space="preserve">איור </w:t>
      </w:r>
      <w:r>
        <w:rPr>
          <w:rFonts w:cs="David" w:hint="cs"/>
          <w:b/>
          <w:bCs/>
          <w:sz w:val="24"/>
          <w:szCs w:val="24"/>
          <w:rtl/>
        </w:rPr>
        <w:t>1</w:t>
      </w:r>
      <w:r w:rsidRPr="0075035C">
        <w:rPr>
          <w:rFonts w:cs="David" w:hint="cs"/>
          <w:b/>
          <w:bCs/>
          <w:sz w:val="24"/>
          <w:szCs w:val="24"/>
          <w:rtl/>
        </w:rPr>
        <w:t>: סך התקבולים ממיסוי כלי רכב ומסי נדל"ן</w:t>
      </w:r>
      <w:r w:rsidRPr="00290006">
        <w:rPr>
          <w:rFonts w:cs="David" w:hint="cs"/>
          <w:b/>
          <w:bCs/>
          <w:sz w:val="24"/>
          <w:szCs w:val="24"/>
          <w:vertAlign w:val="superscript"/>
          <w:rtl/>
        </w:rPr>
        <w:t>1</w:t>
      </w:r>
      <w:r w:rsidRPr="0075035C">
        <w:rPr>
          <w:rFonts w:cs="David" w:hint="cs"/>
          <w:b/>
          <w:bCs/>
          <w:sz w:val="24"/>
          <w:szCs w:val="24"/>
          <w:rtl/>
        </w:rPr>
        <w:t xml:space="preserve"> 2009</w:t>
      </w:r>
      <w:r w:rsidRPr="0075035C">
        <w:rPr>
          <w:rFonts w:cs="David"/>
          <w:b/>
          <w:bCs/>
          <w:sz w:val="24"/>
          <w:szCs w:val="24"/>
          <w:rtl/>
        </w:rPr>
        <w:t>—</w:t>
      </w:r>
      <w:r w:rsidRPr="0075035C">
        <w:rPr>
          <w:rFonts w:cs="David" w:hint="cs"/>
          <w:b/>
          <w:bCs/>
          <w:sz w:val="24"/>
          <w:szCs w:val="24"/>
          <w:rtl/>
        </w:rPr>
        <w:t>2016 (אחוזי תוצר)</w:t>
      </w:r>
    </w:p>
    <w:p w:rsidR="00F83659" w:rsidRDefault="00F83659" w:rsidP="00491EAA">
      <w:pPr>
        <w:spacing w:after="120" w:line="360" w:lineRule="auto"/>
        <w:rPr>
          <w:rFonts w:cs="David"/>
          <w:sz w:val="24"/>
          <w:szCs w:val="24"/>
          <w:rtl/>
        </w:rPr>
      </w:pPr>
      <w:r>
        <w:rPr>
          <w:rFonts w:cs="David"/>
          <w:noProof/>
          <w:sz w:val="24"/>
          <w:szCs w:val="24"/>
        </w:rPr>
        <w:drawing>
          <wp:inline distT="0" distB="0" distL="0" distR="0" wp14:anchorId="7FED45C3" wp14:editId="4C9A4851">
            <wp:extent cx="4862590" cy="1934308"/>
            <wp:effectExtent l="0" t="0" r="0" b="8890"/>
            <wp:docPr id="7" name="תמונה 7" descr="סך התקבולים ממיסוי כלי רכב ומסי נדל&quot;ן 2009-2016" title="סך התקבולים ממיסוי כלי רכב ומסי נדל&quot;ן 2009-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3728" cy="1938739"/>
                    </a:xfrm>
                    <a:prstGeom prst="rect">
                      <a:avLst/>
                    </a:prstGeom>
                    <a:noFill/>
                  </pic:spPr>
                </pic:pic>
              </a:graphicData>
            </a:graphic>
          </wp:inline>
        </w:drawing>
      </w:r>
    </w:p>
    <w:p w:rsidR="00632F67" w:rsidRDefault="00F83659" w:rsidP="00491EAA">
      <w:pPr>
        <w:spacing w:after="120" w:line="360" w:lineRule="auto"/>
        <w:jc w:val="both"/>
        <w:rPr>
          <w:rFonts w:cs="David"/>
          <w:sz w:val="24"/>
          <w:szCs w:val="24"/>
          <w:rtl/>
        </w:rPr>
      </w:pPr>
      <w:r>
        <w:rPr>
          <w:rFonts w:cs="David" w:hint="cs"/>
          <w:sz w:val="24"/>
          <w:szCs w:val="24"/>
          <w:rtl/>
        </w:rPr>
        <w:t xml:space="preserve">סך ההוצאות בתקציב </w:t>
      </w:r>
      <w:r w:rsidR="00450639">
        <w:rPr>
          <w:rFonts w:cs="David" w:hint="cs"/>
          <w:sz w:val="24"/>
          <w:szCs w:val="24"/>
          <w:rtl/>
        </w:rPr>
        <w:t>גדלו ב-2016 בכ-6 אחוזים ו</w:t>
      </w:r>
      <w:r>
        <w:rPr>
          <w:rFonts w:cs="David" w:hint="cs"/>
          <w:sz w:val="24"/>
          <w:szCs w:val="24"/>
          <w:rtl/>
        </w:rPr>
        <w:t>היו נמוכות בכ-2 מיליארדי ש</w:t>
      </w:r>
      <w:r>
        <w:rPr>
          <w:rFonts w:cs="David"/>
          <w:sz w:val="24"/>
          <w:szCs w:val="24"/>
          <w:rtl/>
        </w:rPr>
        <w:t>"</w:t>
      </w:r>
      <w:r>
        <w:rPr>
          <w:rFonts w:cs="David" w:hint="cs"/>
          <w:sz w:val="24"/>
          <w:szCs w:val="24"/>
          <w:rtl/>
        </w:rPr>
        <w:t>ח מתקרת ההוצאות שנקבעה בתקציב</w:t>
      </w:r>
      <w:r w:rsidR="00450639">
        <w:rPr>
          <w:rFonts w:cs="David" w:hint="cs"/>
          <w:sz w:val="24"/>
          <w:szCs w:val="24"/>
          <w:rtl/>
        </w:rPr>
        <w:t xml:space="preserve"> (בניכוי העברה חריגה של 1.5 מיליארדי ש</w:t>
      </w:r>
      <w:r w:rsidR="00450639">
        <w:rPr>
          <w:rFonts w:cs="David"/>
          <w:sz w:val="24"/>
          <w:szCs w:val="24"/>
          <w:rtl/>
        </w:rPr>
        <w:t>"</w:t>
      </w:r>
      <w:r w:rsidR="00450639">
        <w:rPr>
          <w:rFonts w:cs="David" w:hint="cs"/>
          <w:sz w:val="24"/>
          <w:szCs w:val="24"/>
          <w:rtl/>
        </w:rPr>
        <w:t>ח למוסד לביטוח לאומי)</w:t>
      </w:r>
      <w:r>
        <w:rPr>
          <w:rFonts w:cs="David" w:hint="cs"/>
          <w:sz w:val="24"/>
          <w:szCs w:val="24"/>
          <w:rtl/>
        </w:rPr>
        <w:t xml:space="preserve">. בחלוקה לפי סעיפי הוצאה, ההוצאות של המשרדים האזרחיים היו בהתאם לתקציב המקורי, בעוד שבסעיף ה"שונות" ובסעיף הריבית ההוצאות היו נמוכות מהתקציב </w:t>
      </w:r>
      <w:r>
        <w:rPr>
          <w:rFonts w:cs="David"/>
          <w:sz w:val="24"/>
          <w:szCs w:val="24"/>
          <w:rtl/>
        </w:rPr>
        <w:t>–</w:t>
      </w:r>
      <w:r>
        <w:rPr>
          <w:rFonts w:cs="David" w:hint="cs"/>
          <w:sz w:val="24"/>
          <w:szCs w:val="24"/>
          <w:rtl/>
        </w:rPr>
        <w:t xml:space="preserve"> בדומה למרבית השנים האחרונות. היתרה הלא מנוצלת של סעיפים אלה שימשה למתן תוספת</w:t>
      </w:r>
      <w:r w:rsidRPr="00162560">
        <w:rPr>
          <w:rFonts w:cs="David" w:hint="cs"/>
          <w:sz w:val="24"/>
          <w:szCs w:val="24"/>
          <w:rtl/>
        </w:rPr>
        <w:t xml:space="preserve"> </w:t>
      </w:r>
      <w:r>
        <w:rPr>
          <w:rFonts w:cs="David" w:hint="cs"/>
          <w:sz w:val="24"/>
          <w:szCs w:val="24"/>
          <w:rtl/>
        </w:rPr>
        <w:t>של כ-5 מיליארדי ש</w:t>
      </w:r>
      <w:r>
        <w:rPr>
          <w:rFonts w:cs="David"/>
          <w:sz w:val="24"/>
          <w:szCs w:val="24"/>
          <w:rtl/>
        </w:rPr>
        <w:t>"</w:t>
      </w:r>
      <w:r>
        <w:rPr>
          <w:rFonts w:cs="David" w:hint="cs"/>
          <w:sz w:val="24"/>
          <w:szCs w:val="24"/>
          <w:rtl/>
        </w:rPr>
        <w:t xml:space="preserve">ח לתקציב הביטחון - מעבר לתקציב המקורי ובהתאם למתווה הרב-שנתי לתקציב הביטחון שסוכם בסוף 2015. </w:t>
      </w:r>
      <w:r w:rsidRPr="003A05EB">
        <w:rPr>
          <w:rFonts w:cs="David" w:hint="cs"/>
          <w:sz w:val="24"/>
          <w:szCs w:val="24"/>
          <w:rtl/>
        </w:rPr>
        <w:t xml:space="preserve">חשוב לציין כי גם לאחר תוספת זו, משקל הוצאות הביטחון בתקציב ובתוצר (כולל ההוצאות בגין מעבר בסיסי צה"ל לנגב) ירד השנה, בהמשך למרבית השנים הקודמות, והוא נמוך כיום </w:t>
      </w:r>
      <w:proofErr w:type="spellStart"/>
      <w:r w:rsidRPr="003A05EB">
        <w:rPr>
          <w:rFonts w:cs="David" w:hint="cs"/>
          <w:sz w:val="24"/>
          <w:szCs w:val="24"/>
          <w:rtl/>
        </w:rPr>
        <w:t>בכחצי</w:t>
      </w:r>
      <w:proofErr w:type="spellEnd"/>
      <w:r w:rsidRPr="003A05EB">
        <w:rPr>
          <w:rFonts w:cs="David" w:hint="cs"/>
          <w:sz w:val="24"/>
          <w:szCs w:val="24"/>
          <w:rtl/>
        </w:rPr>
        <w:t xml:space="preserve"> אחוז תוצר בהשוואה לתחילת העשור. ירידה זו והגידול </w:t>
      </w:r>
      <w:r w:rsidR="00450639">
        <w:rPr>
          <w:rFonts w:cs="David" w:hint="cs"/>
          <w:sz w:val="24"/>
          <w:szCs w:val="24"/>
          <w:rtl/>
        </w:rPr>
        <w:t xml:space="preserve">המהיר </w:t>
      </w:r>
      <w:r w:rsidRPr="003A05EB">
        <w:rPr>
          <w:rFonts w:cs="David" w:hint="cs"/>
          <w:sz w:val="24"/>
          <w:szCs w:val="24"/>
          <w:rtl/>
        </w:rPr>
        <w:t xml:space="preserve">בסך ההוצאה הגדילו </w:t>
      </w:r>
      <w:r w:rsidR="001D1B06">
        <w:rPr>
          <w:rFonts w:cs="David" w:hint="cs"/>
          <w:sz w:val="24"/>
          <w:szCs w:val="24"/>
          <w:rtl/>
        </w:rPr>
        <w:t xml:space="preserve">מעט ב-2016 </w:t>
      </w:r>
      <w:r w:rsidRPr="003A05EB">
        <w:rPr>
          <w:rFonts w:cs="David" w:hint="cs"/>
          <w:sz w:val="24"/>
          <w:szCs w:val="24"/>
          <w:rtl/>
        </w:rPr>
        <w:t xml:space="preserve">את משקל ההוצאה הממשלתית האזרחית ללא ריבית בתוצר, </w:t>
      </w:r>
      <w:r w:rsidR="001D1B06">
        <w:rPr>
          <w:rFonts w:cs="David" w:hint="cs"/>
          <w:sz w:val="24"/>
          <w:szCs w:val="24"/>
          <w:rtl/>
        </w:rPr>
        <w:t xml:space="preserve">אך זה </w:t>
      </w:r>
      <w:r w:rsidR="00C13BDD">
        <w:rPr>
          <w:rFonts w:cs="David" w:hint="cs"/>
          <w:sz w:val="24"/>
          <w:szCs w:val="24"/>
          <w:rtl/>
        </w:rPr>
        <w:t>נותר עדיין נמוך מאוד בהשוואה בינ"ל</w:t>
      </w:r>
      <w:r>
        <w:rPr>
          <w:rFonts w:cs="David" w:hint="cs"/>
          <w:sz w:val="24"/>
          <w:szCs w:val="24"/>
          <w:rtl/>
        </w:rPr>
        <w:t>.</w:t>
      </w:r>
    </w:p>
    <w:p w:rsidR="00C13BDD" w:rsidRDefault="00C13BDD" w:rsidP="00491EAA">
      <w:pPr>
        <w:spacing w:after="120" w:line="360" w:lineRule="auto"/>
        <w:jc w:val="both"/>
        <w:rPr>
          <w:rFonts w:cs="David"/>
          <w:b/>
          <w:bCs/>
          <w:sz w:val="24"/>
          <w:szCs w:val="24"/>
          <w:rtl/>
        </w:rPr>
      </w:pPr>
      <w:r w:rsidRPr="003F7824">
        <w:rPr>
          <w:rFonts w:cs="David" w:hint="cs"/>
          <w:b/>
          <w:bCs/>
          <w:sz w:val="24"/>
          <w:szCs w:val="24"/>
          <w:rtl/>
        </w:rPr>
        <w:t xml:space="preserve">איור </w:t>
      </w:r>
      <w:r w:rsidR="001D1B06">
        <w:rPr>
          <w:rFonts w:cs="David" w:hint="cs"/>
          <w:b/>
          <w:bCs/>
          <w:sz w:val="24"/>
          <w:szCs w:val="24"/>
          <w:rtl/>
        </w:rPr>
        <w:t>2</w:t>
      </w:r>
      <w:r w:rsidRPr="003F7824">
        <w:rPr>
          <w:rFonts w:cs="David" w:hint="cs"/>
          <w:b/>
          <w:bCs/>
          <w:sz w:val="24"/>
          <w:szCs w:val="24"/>
          <w:rtl/>
        </w:rPr>
        <w:t xml:space="preserve">: ההוצאה האזרחית ללא ריבית בישראל ובמדינות </w:t>
      </w:r>
      <w:r w:rsidRPr="003F7824">
        <w:rPr>
          <w:rFonts w:cs="David"/>
          <w:b/>
          <w:bCs/>
          <w:sz w:val="24"/>
          <w:szCs w:val="24"/>
        </w:rPr>
        <w:t>OECD</w:t>
      </w:r>
      <w:r w:rsidRPr="003F7824">
        <w:rPr>
          <w:rFonts w:cs="David" w:hint="cs"/>
          <w:b/>
          <w:bCs/>
          <w:sz w:val="24"/>
          <w:szCs w:val="24"/>
          <w:rtl/>
        </w:rPr>
        <w:t xml:space="preserve"> האחרות </w:t>
      </w:r>
      <w:r w:rsidRPr="003F7824">
        <w:rPr>
          <w:rFonts w:cs="David"/>
          <w:b/>
          <w:bCs/>
          <w:sz w:val="24"/>
          <w:szCs w:val="24"/>
          <w:rtl/>
        </w:rPr>
        <w:t>–</w:t>
      </w:r>
      <w:r w:rsidRPr="003F7824">
        <w:rPr>
          <w:rFonts w:cs="David" w:hint="cs"/>
          <w:b/>
          <w:bCs/>
          <w:sz w:val="24"/>
          <w:szCs w:val="24"/>
          <w:rtl/>
        </w:rPr>
        <w:t xml:space="preserve"> 2015 (אחוזי תוצר)</w:t>
      </w:r>
    </w:p>
    <w:p w:rsidR="00C13BDD" w:rsidRDefault="00C13BDD" w:rsidP="00491EAA">
      <w:pPr>
        <w:spacing w:after="120" w:line="360" w:lineRule="auto"/>
        <w:jc w:val="both"/>
        <w:rPr>
          <w:rFonts w:cs="David"/>
          <w:sz w:val="24"/>
          <w:szCs w:val="24"/>
          <w:rtl/>
        </w:rPr>
      </w:pPr>
      <w:r>
        <w:rPr>
          <w:rFonts w:cs="David"/>
          <w:b/>
          <w:bCs/>
          <w:noProof/>
          <w:sz w:val="24"/>
          <w:szCs w:val="24"/>
        </w:rPr>
        <w:drawing>
          <wp:inline distT="0" distB="0" distL="0" distR="0" wp14:anchorId="55D53CA4" wp14:editId="70844B06">
            <wp:extent cx="5181600" cy="1943100"/>
            <wp:effectExtent l="0" t="0" r="0" b="0"/>
            <wp:docPr id="12" name="תמונה 12" descr="ההוצאה האזרחית ללא ריבית בישראל ובמדינות OECD האחרות – 2015 " title="ההוצאה האזרחית ללא ריבית בישראל ובמדינות OECD האחרות – 2015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6203" cy="1944826"/>
                    </a:xfrm>
                    <a:prstGeom prst="rect">
                      <a:avLst/>
                    </a:prstGeom>
                    <a:noFill/>
                  </pic:spPr>
                </pic:pic>
              </a:graphicData>
            </a:graphic>
          </wp:inline>
        </w:drawing>
      </w:r>
    </w:p>
    <w:p w:rsidR="00C13BDD" w:rsidRPr="00B46DA2" w:rsidRDefault="00C13BDD" w:rsidP="00491EAA">
      <w:pPr>
        <w:spacing w:after="0" w:line="360" w:lineRule="auto"/>
        <w:jc w:val="both"/>
        <w:rPr>
          <w:rFonts w:cs="David"/>
          <w:sz w:val="24"/>
          <w:szCs w:val="24"/>
          <w:rtl/>
        </w:rPr>
      </w:pPr>
      <w:r w:rsidRPr="00B46DA2">
        <w:rPr>
          <w:rFonts w:cs="David" w:hint="cs"/>
          <w:b/>
          <w:bCs/>
          <w:sz w:val="24"/>
          <w:szCs w:val="24"/>
          <w:vertAlign w:val="superscript"/>
          <w:rtl/>
        </w:rPr>
        <w:t>1</w:t>
      </w:r>
      <w:r>
        <w:rPr>
          <w:rFonts w:cs="David" w:hint="cs"/>
          <w:b/>
          <w:bCs/>
          <w:sz w:val="24"/>
          <w:szCs w:val="24"/>
          <w:vertAlign w:val="superscript"/>
          <w:rtl/>
        </w:rPr>
        <w:t xml:space="preserve"> </w:t>
      </w:r>
      <w:r>
        <w:rPr>
          <w:rFonts w:cs="David" w:hint="cs"/>
          <w:b/>
          <w:bCs/>
          <w:sz w:val="24"/>
          <w:szCs w:val="24"/>
          <w:rtl/>
        </w:rPr>
        <w:t xml:space="preserve"> </w:t>
      </w:r>
      <w:r w:rsidRPr="00B46DA2">
        <w:rPr>
          <w:rFonts w:cs="David" w:hint="cs"/>
          <w:sz w:val="20"/>
          <w:szCs w:val="20"/>
          <w:rtl/>
        </w:rPr>
        <w:t xml:space="preserve">אין בידינו נתונים </w:t>
      </w:r>
      <w:proofErr w:type="spellStart"/>
      <w:r w:rsidRPr="00B46DA2">
        <w:rPr>
          <w:rFonts w:cs="David" w:hint="cs"/>
          <w:sz w:val="20"/>
          <w:szCs w:val="20"/>
          <w:rtl/>
        </w:rPr>
        <w:t>מדוייקים</w:t>
      </w:r>
      <w:proofErr w:type="spellEnd"/>
      <w:r w:rsidRPr="00B46DA2">
        <w:rPr>
          <w:rFonts w:cs="David" w:hint="cs"/>
          <w:sz w:val="20"/>
          <w:szCs w:val="20"/>
          <w:rtl/>
        </w:rPr>
        <w:t xml:space="preserve"> עבור טורקיה וצ'ילה, אך הנתונים עבורן נמוכים מאלה של ישראל.</w:t>
      </w:r>
      <w:r>
        <w:rPr>
          <w:rFonts w:cs="David" w:hint="cs"/>
          <w:sz w:val="20"/>
          <w:szCs w:val="20"/>
          <w:rtl/>
        </w:rPr>
        <w:t xml:space="preserve"> הנתון עבור אירלנד השתנה בשל רביזיה שנערכה שם בשיטת חישוב נתוני התוצר.</w:t>
      </w:r>
    </w:p>
    <w:p w:rsidR="00C13BDD" w:rsidRDefault="00C13BDD" w:rsidP="00491EAA">
      <w:pPr>
        <w:spacing w:after="120" w:line="360" w:lineRule="auto"/>
        <w:jc w:val="both"/>
        <w:rPr>
          <w:rFonts w:cs="David"/>
          <w:sz w:val="24"/>
          <w:szCs w:val="24"/>
          <w:rtl/>
        </w:rPr>
      </w:pPr>
    </w:p>
    <w:p w:rsidR="00F83659" w:rsidRDefault="00C13BDD" w:rsidP="00491EAA">
      <w:pPr>
        <w:spacing w:after="120" w:line="360" w:lineRule="auto"/>
        <w:jc w:val="both"/>
        <w:rPr>
          <w:rFonts w:cs="David"/>
          <w:sz w:val="24"/>
          <w:szCs w:val="24"/>
          <w:rtl/>
        </w:rPr>
      </w:pPr>
      <w:r>
        <w:rPr>
          <w:rFonts w:cs="David" w:hint="cs"/>
          <w:sz w:val="24"/>
          <w:szCs w:val="24"/>
          <w:rtl/>
        </w:rPr>
        <w:t xml:space="preserve">תקרת הגירעון שהממשלה קבעה לשנים 2017 ו-2018 </w:t>
      </w:r>
      <w:r>
        <w:rPr>
          <w:rFonts w:cs="David"/>
          <w:sz w:val="24"/>
          <w:szCs w:val="24"/>
          <w:rtl/>
        </w:rPr>
        <w:t>–</w:t>
      </w:r>
      <w:r>
        <w:rPr>
          <w:rFonts w:cs="David" w:hint="cs"/>
          <w:sz w:val="24"/>
          <w:szCs w:val="24"/>
          <w:rtl/>
        </w:rPr>
        <w:t xml:space="preserve"> 2.9 אחוזי תוצר - גבוהה משמעותית מהגירעון ב-2016 </w:t>
      </w:r>
      <w:r>
        <w:rPr>
          <w:rFonts w:cs="David"/>
          <w:sz w:val="24"/>
          <w:szCs w:val="24"/>
          <w:rtl/>
        </w:rPr>
        <w:t>–</w:t>
      </w:r>
      <w:r>
        <w:rPr>
          <w:rFonts w:cs="David" w:hint="cs"/>
          <w:sz w:val="24"/>
          <w:szCs w:val="24"/>
          <w:rtl/>
        </w:rPr>
        <w:t xml:space="preserve"> 2.1 אחוזי תוצר</w:t>
      </w:r>
      <w:r w:rsidR="00D06169">
        <w:rPr>
          <w:rFonts w:cs="David" w:hint="cs"/>
          <w:sz w:val="24"/>
          <w:szCs w:val="24"/>
          <w:rtl/>
        </w:rPr>
        <w:t>, וגם גבוהה בהשוואה למדינות המפותחות האחרות, בוודאי בהתחשב במצבו האיתן של המשק.</w:t>
      </w:r>
      <w:r>
        <w:rPr>
          <w:rFonts w:cs="David" w:hint="cs"/>
          <w:sz w:val="24"/>
          <w:szCs w:val="24"/>
          <w:rtl/>
        </w:rPr>
        <w:t xml:space="preserve">. העלאה זו של תקרת הגירעון משקפת הגדלה ריאלית ניכרת של תקרת ההוצאה </w:t>
      </w:r>
      <w:r>
        <w:rPr>
          <w:rFonts w:cs="David"/>
          <w:sz w:val="24"/>
          <w:szCs w:val="24"/>
          <w:rtl/>
        </w:rPr>
        <w:t>–</w:t>
      </w:r>
      <w:r>
        <w:rPr>
          <w:rFonts w:cs="David" w:hint="cs"/>
          <w:sz w:val="24"/>
          <w:szCs w:val="24"/>
          <w:rtl/>
        </w:rPr>
        <w:t xml:space="preserve"> בכ-6 אחוזים ב-2017 וב-3.7 </w:t>
      </w:r>
      <w:r>
        <w:rPr>
          <w:rFonts w:cs="David" w:hint="cs"/>
          <w:sz w:val="24"/>
          <w:szCs w:val="24"/>
          <w:rtl/>
        </w:rPr>
        <w:lastRenderedPageBreak/>
        <w:t xml:space="preserve">אחוזים נוספים ב-2018 (בהתאמה לשינויים חשבונאיים) </w:t>
      </w:r>
      <w:r>
        <w:rPr>
          <w:rFonts w:cs="David"/>
          <w:sz w:val="24"/>
          <w:szCs w:val="24"/>
          <w:rtl/>
        </w:rPr>
        <w:t>–</w:t>
      </w:r>
      <w:r>
        <w:rPr>
          <w:rFonts w:cs="David" w:hint="cs"/>
          <w:sz w:val="24"/>
          <w:szCs w:val="24"/>
          <w:rtl/>
        </w:rPr>
        <w:t xml:space="preserve"> לצד התאמה מזערית של שיעורי המס ב-2017 </w:t>
      </w:r>
      <w:r>
        <w:rPr>
          <w:rStyle w:val="a6"/>
          <w:rFonts w:cs="David"/>
          <w:sz w:val="24"/>
          <w:szCs w:val="24"/>
          <w:rtl/>
        </w:rPr>
        <w:footnoteReference w:id="2"/>
      </w:r>
      <w:r>
        <w:rPr>
          <w:rFonts w:cs="David" w:hint="cs"/>
          <w:sz w:val="24"/>
          <w:szCs w:val="24"/>
          <w:rtl/>
        </w:rPr>
        <w:t xml:space="preserve"> והפחתתם בהיקף מתון ב-2018. יתר על כן, הגידול הריאלי המתוכנן בסך ההוצאות </w:t>
      </w:r>
      <w:r>
        <w:rPr>
          <w:rFonts w:cs="David"/>
          <w:sz w:val="24"/>
          <w:szCs w:val="24"/>
          <w:rtl/>
        </w:rPr>
        <w:t>–</w:t>
      </w:r>
      <w:r>
        <w:rPr>
          <w:rFonts w:cs="David" w:hint="cs"/>
          <w:sz w:val="24"/>
          <w:szCs w:val="24"/>
          <w:rtl/>
        </w:rPr>
        <w:t xml:space="preserve"> הכולל בנוסף לתקרת ההוצאה גם את סעיפי ההוצאה המותנית בהכנסה</w:t>
      </w:r>
      <w:r>
        <w:rPr>
          <w:rStyle w:val="a6"/>
          <w:rFonts w:cs="David"/>
          <w:sz w:val="24"/>
          <w:szCs w:val="24"/>
          <w:rtl/>
        </w:rPr>
        <w:footnoteReference w:id="3"/>
      </w:r>
      <w:r>
        <w:rPr>
          <w:rFonts w:cs="David" w:hint="cs"/>
          <w:sz w:val="24"/>
          <w:szCs w:val="24"/>
          <w:rtl/>
        </w:rPr>
        <w:t xml:space="preserve"> </w:t>
      </w:r>
      <w:r>
        <w:rPr>
          <w:rFonts w:cs="David"/>
          <w:sz w:val="24"/>
          <w:szCs w:val="24"/>
          <w:rtl/>
        </w:rPr>
        <w:t>–</w:t>
      </w:r>
      <w:r>
        <w:rPr>
          <w:rFonts w:cs="David" w:hint="cs"/>
          <w:sz w:val="24"/>
          <w:szCs w:val="24"/>
          <w:rtl/>
        </w:rPr>
        <w:t xml:space="preserve"> הוא כ-7 אחוזים ב-2017 (בהשוואה לאומדן הביצוע ב-2016) ועוד כ-2.5 אחוזים ב-2018. שיעור גידול מהיר זה משקף את רמתה הנמוכה של ההוצאה הציבורית, ואת הצורך של הממשלה להגדיל את המקורות העומדים לרשותה כדי להשיג את יעדיה. הגידול בהוצאה המותנית בהכנסה מתבסס בעיקרו על הכנסות חד-פעמיות או זמניות שהממשלה פועלת לקבל מחברות ממשלתיות שונות וגופים ציבוריים כגון קק"ל, רשות שדות התעופה ומפעל הפיס. כמו כן, </w:t>
      </w:r>
      <w:r w:rsidRPr="00EF3DE5">
        <w:rPr>
          <w:rFonts w:cs="David" w:hint="cs"/>
          <w:sz w:val="24"/>
          <w:szCs w:val="24"/>
          <w:rtl/>
        </w:rPr>
        <w:t>רכיב ההוצאה המותנית כולל תקציבים להעברת מחנות צה"ל לנגב בהיקף של כ-2.8 מיליארדי ₪ ב-2017 ו-2.1 מיליארדים ב-2018, שביצועם תלוי בתקבולים ממכירת קרקעות על ידי רשות מקרקעי ישראל.</w:t>
      </w:r>
      <w:r>
        <w:rPr>
          <w:rFonts w:cs="David" w:hint="cs"/>
          <w:sz w:val="24"/>
          <w:szCs w:val="24"/>
          <w:rtl/>
        </w:rPr>
        <w:t xml:space="preserve"> ככל שיתגלה קושי בגביית ההכנסות המיועדות, שחלקן נכללו כבר בתקציב 2015</w:t>
      </w:r>
      <w:r>
        <w:rPr>
          <w:rFonts w:cs="David"/>
          <w:sz w:val="24"/>
          <w:szCs w:val="24"/>
          <w:rtl/>
        </w:rPr>
        <w:t>—</w:t>
      </w:r>
      <w:r>
        <w:rPr>
          <w:rFonts w:cs="David" w:hint="cs"/>
          <w:sz w:val="24"/>
          <w:szCs w:val="24"/>
          <w:rtl/>
        </w:rPr>
        <w:t xml:space="preserve">2016 ולא מומשו, ההוצאות התלויות בהן </w:t>
      </w:r>
      <w:r>
        <w:rPr>
          <w:rFonts w:cs="David"/>
          <w:sz w:val="24"/>
          <w:szCs w:val="24"/>
          <w:rtl/>
        </w:rPr>
        <w:t>–</w:t>
      </w:r>
      <w:r>
        <w:rPr>
          <w:rFonts w:cs="David" w:hint="cs"/>
          <w:sz w:val="24"/>
          <w:szCs w:val="24"/>
          <w:rtl/>
        </w:rPr>
        <w:t xml:space="preserve"> בעיקר בסעיפי השיכון, בניית מבני חינוך, השקעה בתשתיות, ובניית מחנות צה"ל בנגב </w:t>
      </w:r>
      <w:r>
        <w:rPr>
          <w:rFonts w:cs="David"/>
          <w:sz w:val="24"/>
          <w:szCs w:val="24"/>
          <w:rtl/>
        </w:rPr>
        <w:t>–</w:t>
      </w:r>
      <w:r>
        <w:rPr>
          <w:rFonts w:cs="David" w:hint="cs"/>
          <w:sz w:val="24"/>
          <w:szCs w:val="24"/>
          <w:rtl/>
        </w:rPr>
        <w:t xml:space="preserve"> עלולות להתעכב ולפגוע בהשגת יעדים חשובים של הממשלה בתחומים אלה.</w:t>
      </w:r>
    </w:p>
    <w:p w:rsidR="00C13BDD" w:rsidRDefault="00C13BDD" w:rsidP="00491EAA">
      <w:pPr>
        <w:spacing w:after="120" w:line="360" w:lineRule="auto"/>
        <w:jc w:val="both"/>
        <w:rPr>
          <w:rFonts w:cs="David"/>
          <w:sz w:val="24"/>
          <w:szCs w:val="24"/>
          <w:rtl/>
        </w:rPr>
      </w:pPr>
      <w:r>
        <w:rPr>
          <w:rFonts w:cs="David" w:hint="cs"/>
          <w:sz w:val="24"/>
          <w:szCs w:val="24"/>
          <w:rtl/>
        </w:rPr>
        <w:t xml:space="preserve">בתקציב הנוכחי הממשלה העלתה במקביל לתקרת ההוצאות גם את תקרת הגירעון והפחיתה את שיעורי המס מ-2018, וזאת על רקע התנאים המקרו-כלכליים הנוחים התורמים להגדלת ההכנסות ממסים. למרות זאת, גם בתקציב הנוכחי ממומנות הוצאות בהיקף לא זניח באמצעות העברות זמניות מגופים חוץ-תקציביים או על בסיס רישום של מכירת נכסים (קרקעות) כהכנסה תקציבית. ככל שהממשלה תחליט כי ההאצה בקצב הגידול של ההוצאות צריכה להימשך </w:t>
      </w:r>
      <w:r>
        <w:rPr>
          <w:rFonts w:cs="David"/>
          <w:sz w:val="24"/>
          <w:szCs w:val="24"/>
          <w:rtl/>
        </w:rPr>
        <w:t>–</w:t>
      </w:r>
      <w:r>
        <w:rPr>
          <w:rFonts w:cs="David" w:hint="cs"/>
          <w:sz w:val="24"/>
          <w:szCs w:val="24"/>
          <w:rtl/>
        </w:rPr>
        <w:t xml:space="preserve"> בפרט על רקע הרמה הנמוכה מאוד של ההוצאה הציבורית האזרחית בישראל בהשוואה למדינות המפותחות האחרות (איור </w:t>
      </w:r>
      <w:r w:rsidR="00705D49">
        <w:rPr>
          <w:rFonts w:cs="David" w:hint="cs"/>
          <w:sz w:val="24"/>
          <w:szCs w:val="24"/>
          <w:rtl/>
        </w:rPr>
        <w:t>2</w:t>
      </w:r>
      <w:r>
        <w:rPr>
          <w:rFonts w:cs="David" w:hint="cs"/>
          <w:sz w:val="24"/>
          <w:szCs w:val="24"/>
          <w:rtl/>
        </w:rPr>
        <w:t xml:space="preserve">) </w:t>
      </w:r>
      <w:r>
        <w:rPr>
          <w:rFonts w:cs="David"/>
          <w:sz w:val="24"/>
          <w:szCs w:val="24"/>
          <w:rtl/>
        </w:rPr>
        <w:t>–</w:t>
      </w:r>
      <w:r>
        <w:rPr>
          <w:rFonts w:cs="David" w:hint="cs"/>
          <w:sz w:val="24"/>
          <w:szCs w:val="24"/>
          <w:rtl/>
        </w:rPr>
        <w:t xml:space="preserve"> היא תצטרך לבסס אותה על מקורות הכנסה יציבים יותר, כדי להימנע מעליה פרמננטית של הגירעון ומהיפוך מגמת הירידה של יחס החוב לתוצר.</w:t>
      </w:r>
    </w:p>
    <w:p w:rsidR="00C13BDD" w:rsidRPr="00F83659" w:rsidRDefault="006A3707" w:rsidP="00491EAA">
      <w:pPr>
        <w:spacing w:after="120" w:line="360" w:lineRule="auto"/>
        <w:jc w:val="both"/>
        <w:rPr>
          <w:rFonts w:cs="David"/>
          <w:sz w:val="24"/>
          <w:szCs w:val="24"/>
        </w:rPr>
      </w:pPr>
      <w:r>
        <w:rPr>
          <w:rFonts w:cs="David" w:hint="cs"/>
          <w:sz w:val="24"/>
          <w:szCs w:val="24"/>
          <w:rtl/>
        </w:rPr>
        <w:t xml:space="preserve">על פי כללי </w:t>
      </w:r>
      <w:proofErr w:type="spellStart"/>
      <w:r>
        <w:rPr>
          <w:rFonts w:cs="David" w:hint="cs"/>
          <w:sz w:val="24"/>
          <w:szCs w:val="24"/>
          <w:rtl/>
        </w:rPr>
        <w:t>התיקצוב</w:t>
      </w:r>
      <w:proofErr w:type="spellEnd"/>
      <w:r>
        <w:rPr>
          <w:rFonts w:cs="David" w:hint="cs"/>
          <w:sz w:val="24"/>
          <w:szCs w:val="24"/>
          <w:rtl/>
        </w:rPr>
        <w:t xml:space="preserve"> החדשים שנקבעו בחקיקה, על הממשלה לבחון את מצב התקציב לא רק לשנים עבורן כבר אושר תקציב (2017 ו-2018, השנה), אלא גם אל מול היעדים שנקבעו לשנים מאוחרות יותר. כך, </w:t>
      </w:r>
      <w:r w:rsidR="00B76C29">
        <w:rPr>
          <w:rFonts w:cs="David" w:hint="cs"/>
          <w:sz w:val="24"/>
          <w:szCs w:val="24"/>
          <w:rtl/>
        </w:rPr>
        <w:t>במידה ש</w:t>
      </w:r>
      <w:r>
        <w:rPr>
          <w:rFonts w:cs="David" w:hint="cs"/>
          <w:sz w:val="24"/>
          <w:szCs w:val="24"/>
          <w:rtl/>
        </w:rPr>
        <w:t>החלטות ממשלה שיישומן כרוך בהוצאה תקציבית או בהפחתת הכנסות צפויות להביא לחריגה מתקרת ההוצאות או הגירעון, על הממשלה לאמץ במקביל להן צעדי התאמה שימנעו את החריגה.</w:t>
      </w:r>
      <w:r w:rsidRPr="006A3707">
        <w:rPr>
          <w:rFonts w:cs="David" w:hint="cs"/>
          <w:sz w:val="24"/>
          <w:szCs w:val="24"/>
          <w:rtl/>
        </w:rPr>
        <w:t xml:space="preserve"> </w:t>
      </w:r>
      <w:r>
        <w:rPr>
          <w:rFonts w:cs="David" w:hint="cs"/>
          <w:sz w:val="24"/>
          <w:szCs w:val="24"/>
          <w:rtl/>
        </w:rPr>
        <w:t>תוואי ההוצאות הצפוי לשנים 2019 ו-2020 מלמד כי רמ</w:t>
      </w:r>
      <w:r w:rsidR="00B76C29">
        <w:rPr>
          <w:rFonts w:cs="David" w:hint="cs"/>
          <w:sz w:val="24"/>
          <w:szCs w:val="24"/>
          <w:rtl/>
        </w:rPr>
        <w:t>ו</w:t>
      </w:r>
      <w:r>
        <w:rPr>
          <w:rFonts w:cs="David" w:hint="cs"/>
          <w:sz w:val="24"/>
          <w:szCs w:val="24"/>
          <w:rtl/>
        </w:rPr>
        <w:t>ת ההוצאות הצפויה בשנת 2019 גבוהה רק במקצת מתקרת ההוצאות לשנה זו</w:t>
      </w:r>
      <w:r w:rsidR="00B76C29">
        <w:rPr>
          <w:rFonts w:cs="David" w:hint="cs"/>
          <w:sz w:val="24"/>
          <w:szCs w:val="24"/>
          <w:rtl/>
        </w:rPr>
        <w:t>, שיפור ניכר בהשוואה לשנים הקודמות</w:t>
      </w:r>
      <w:r>
        <w:rPr>
          <w:rFonts w:cs="David" w:hint="cs"/>
          <w:sz w:val="24"/>
          <w:szCs w:val="24"/>
          <w:rtl/>
        </w:rPr>
        <w:t xml:space="preserve">. </w:t>
      </w:r>
      <w:r w:rsidR="00B76C29">
        <w:rPr>
          <w:rFonts w:cs="David" w:hint="cs"/>
          <w:sz w:val="24"/>
          <w:szCs w:val="24"/>
          <w:rtl/>
        </w:rPr>
        <w:t xml:space="preserve">משמעות המצב הנוכחי היא שכל החלטה על הגדלת ההוצאות שהממשלה תקבל עד אישור התקציב (ולמעשה עד סוף 2019) תצטרך להיות מלווה בהחלטה על הפחתת הוצאות אחרות. חשוב להדגיש שעל פי הכללים הקיימים גידול בהכנסות אינו פוטר את הממשלה ממגבלה זו, שכן מגבלת ההוצאה תקפה בנפרד מתקרת הגירעון. אף שיתכן כי העמידה בתקרת ההוצאה ל-2019 היא אתגר אפשרי מבחינת הממשלה, מיצוי התקרה כבר בשלב הנוכחי מלמד גם עד כמה מגבלת ההוצאה היא מרסנת בהשוואה לצרכים </w:t>
      </w:r>
      <w:r w:rsidR="00B76C29">
        <w:rPr>
          <w:rFonts w:cs="David"/>
          <w:sz w:val="24"/>
          <w:szCs w:val="24"/>
          <w:rtl/>
        </w:rPr>
        <w:t>–</w:t>
      </w:r>
      <w:r w:rsidR="00B76C29">
        <w:rPr>
          <w:rFonts w:cs="David" w:hint="cs"/>
          <w:sz w:val="24"/>
          <w:szCs w:val="24"/>
          <w:rtl/>
        </w:rPr>
        <w:t xml:space="preserve"> בהינתן רמתה הנמוכה מאוד של ההוצאה האזרחית בישראל.</w:t>
      </w:r>
    </w:p>
    <w:sectPr w:rsidR="00C13BDD" w:rsidRPr="00F83659" w:rsidSect="00491EAA">
      <w:footerReference w:type="default" r:id="rId11"/>
      <w:pgSz w:w="11906" w:h="16838"/>
      <w:pgMar w:top="1440" w:right="1080" w:bottom="1440" w:left="1080" w:header="708" w:footer="397"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56D" w:rsidRDefault="004F156D" w:rsidP="00632F67">
      <w:pPr>
        <w:spacing w:after="0" w:line="240" w:lineRule="auto"/>
      </w:pPr>
      <w:r>
        <w:separator/>
      </w:r>
    </w:p>
  </w:endnote>
  <w:endnote w:type="continuationSeparator" w:id="0">
    <w:p w:rsidR="004F156D" w:rsidRDefault="004F156D" w:rsidP="00632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David"/>
        <w:sz w:val="24"/>
        <w:szCs w:val="24"/>
        <w:rtl/>
      </w:rPr>
      <w:id w:val="-120770435"/>
      <w:docPartObj>
        <w:docPartGallery w:val="Page Numbers (Bottom of Page)"/>
        <w:docPartUnique/>
      </w:docPartObj>
    </w:sdtPr>
    <w:sdtEndPr>
      <w:rPr>
        <w:cs/>
      </w:rPr>
    </w:sdtEndPr>
    <w:sdtContent>
      <w:sdt>
        <w:sdtPr>
          <w:rPr>
            <w:rFonts w:cs="David"/>
            <w:sz w:val="24"/>
            <w:szCs w:val="24"/>
            <w:rtl/>
          </w:rPr>
          <w:id w:val="-1900730912"/>
          <w:docPartObj>
            <w:docPartGallery w:val="Page Numbers (Top of Page)"/>
            <w:docPartUnique/>
          </w:docPartObj>
        </w:sdtPr>
        <w:sdtEndPr/>
        <w:sdtContent>
          <w:p w:rsidR="00D06169" w:rsidRPr="00491EAA" w:rsidRDefault="00491EAA" w:rsidP="00491EAA">
            <w:pPr>
              <w:spacing w:line="360" w:lineRule="auto"/>
              <w:ind w:right="-1276"/>
              <w:rPr>
                <w:rFonts w:cs="David"/>
                <w:sz w:val="24"/>
                <w:szCs w:val="24"/>
              </w:rPr>
            </w:pPr>
            <w:r w:rsidRPr="0043575A">
              <w:rPr>
                <w:rFonts w:cs="David" w:hint="cs"/>
                <w:sz w:val="24"/>
                <w:szCs w:val="24"/>
                <w:rtl/>
                <w:lang w:val="he-IL"/>
              </w:rPr>
              <w:t xml:space="preserve">בנק ישראל - </w:t>
            </w:r>
            <w:r w:rsidRPr="000F5A68">
              <w:rPr>
                <w:rFonts w:cs="David" w:hint="cs"/>
                <w:sz w:val="24"/>
                <w:szCs w:val="24"/>
                <w:rtl/>
                <w:lang w:val="he-IL"/>
              </w:rPr>
              <w:t xml:space="preserve"> תמונת המצב הפיסקלית ל</w:t>
            </w:r>
            <w:r w:rsidRPr="000F5A68">
              <w:rPr>
                <w:rFonts w:cs="David" w:hint="eastAsia"/>
                <w:sz w:val="24"/>
                <w:szCs w:val="24"/>
                <w:rtl/>
                <w:lang w:val="he-IL"/>
              </w:rPr>
              <w:t>שנ</w:t>
            </w:r>
            <w:r w:rsidRPr="000F5A68">
              <w:rPr>
                <w:rFonts w:cs="David" w:hint="cs"/>
                <w:sz w:val="24"/>
                <w:szCs w:val="24"/>
                <w:rtl/>
                <w:lang w:val="he-IL"/>
              </w:rPr>
              <w:t>ת</w:t>
            </w:r>
            <w:r w:rsidRPr="000F5A68">
              <w:rPr>
                <w:rFonts w:cs="David"/>
                <w:sz w:val="24"/>
                <w:szCs w:val="24"/>
                <w:rtl/>
                <w:lang w:val="he-IL"/>
              </w:rPr>
              <w:t xml:space="preserve"> </w:t>
            </w:r>
            <w:r w:rsidRPr="000F5A68">
              <w:rPr>
                <w:rFonts w:cs="David" w:hint="cs"/>
                <w:sz w:val="24"/>
                <w:szCs w:val="24"/>
                <w:rtl/>
                <w:lang w:val="he-IL"/>
              </w:rPr>
              <w:t>2017</w:t>
            </w:r>
            <w:r>
              <w:rPr>
                <w:rFonts w:cs="David" w:hint="cs"/>
                <w:sz w:val="24"/>
                <w:szCs w:val="24"/>
                <w:rtl/>
                <w:lang w:val="he-IL"/>
              </w:rPr>
              <w:tab/>
            </w:r>
            <w:r>
              <w:rPr>
                <w:rFonts w:cs="David" w:hint="cs"/>
                <w:sz w:val="24"/>
                <w:szCs w:val="24"/>
                <w:rtl/>
                <w:lang w:val="he-IL"/>
              </w:rPr>
              <w:tab/>
            </w:r>
            <w:r>
              <w:rPr>
                <w:rFonts w:cs="David" w:hint="cs"/>
                <w:sz w:val="24"/>
                <w:szCs w:val="24"/>
                <w:rtl/>
                <w:lang w:val="he-IL"/>
              </w:rPr>
              <w:tab/>
              <w:t xml:space="preserve">                      </w:t>
            </w:r>
            <w:r>
              <w:rPr>
                <w:rFonts w:cs="David" w:hint="cs"/>
                <w:sz w:val="24"/>
                <w:szCs w:val="24"/>
                <w:rtl/>
                <w:lang w:val="he-IL"/>
              </w:rPr>
              <w:tab/>
            </w:r>
            <w:r>
              <w:rPr>
                <w:rFonts w:cs="David" w:hint="cs"/>
                <w:sz w:val="24"/>
                <w:szCs w:val="24"/>
                <w:rtl/>
                <w:lang w:val="he-IL"/>
              </w:rPr>
              <w:tab/>
              <w:t xml:space="preserve">      </w:t>
            </w:r>
            <w:r w:rsidRPr="0043575A">
              <w:rPr>
                <w:rFonts w:cs="David"/>
                <w:sz w:val="24"/>
                <w:szCs w:val="24"/>
                <w:rtl/>
                <w:cs/>
                <w:lang w:val="he-IL"/>
              </w:rPr>
              <w:t xml:space="preserve">עמוד </w:t>
            </w:r>
            <w:r w:rsidRPr="0043575A">
              <w:rPr>
                <w:rFonts w:cs="David"/>
                <w:b/>
                <w:bCs/>
                <w:sz w:val="24"/>
                <w:szCs w:val="24"/>
              </w:rPr>
              <w:fldChar w:fldCharType="begin"/>
            </w:r>
            <w:r w:rsidRPr="0043575A">
              <w:rPr>
                <w:rFonts w:cs="David"/>
                <w:b/>
                <w:bCs/>
                <w:sz w:val="24"/>
                <w:szCs w:val="24"/>
                <w:rtl/>
                <w:cs/>
              </w:rPr>
              <w:instrText>PAGE</w:instrText>
            </w:r>
            <w:r w:rsidRPr="0043575A">
              <w:rPr>
                <w:rFonts w:cs="David"/>
                <w:b/>
                <w:bCs/>
                <w:sz w:val="24"/>
                <w:szCs w:val="24"/>
              </w:rPr>
              <w:fldChar w:fldCharType="separate"/>
            </w:r>
            <w:r w:rsidR="00497161">
              <w:rPr>
                <w:rFonts w:cs="David"/>
                <w:b/>
                <w:bCs/>
                <w:noProof/>
                <w:sz w:val="24"/>
                <w:szCs w:val="24"/>
                <w:rtl/>
              </w:rPr>
              <w:t>1</w:t>
            </w:r>
            <w:r w:rsidRPr="0043575A">
              <w:rPr>
                <w:rFonts w:cs="David"/>
                <w:b/>
                <w:bCs/>
                <w:sz w:val="24"/>
                <w:szCs w:val="24"/>
              </w:rPr>
              <w:fldChar w:fldCharType="end"/>
            </w:r>
            <w:r w:rsidRPr="0043575A">
              <w:rPr>
                <w:rFonts w:cs="David"/>
                <w:sz w:val="24"/>
                <w:szCs w:val="24"/>
                <w:rtl/>
                <w:cs/>
                <w:lang w:val="he-IL"/>
              </w:rPr>
              <w:t xml:space="preserve"> מתוך </w:t>
            </w:r>
            <w:r w:rsidRPr="0043575A">
              <w:rPr>
                <w:rFonts w:cs="David"/>
                <w:b/>
                <w:bCs/>
                <w:sz w:val="24"/>
                <w:szCs w:val="24"/>
              </w:rPr>
              <w:fldChar w:fldCharType="begin"/>
            </w:r>
            <w:r w:rsidRPr="0043575A">
              <w:rPr>
                <w:rFonts w:cs="David"/>
                <w:b/>
                <w:bCs/>
                <w:sz w:val="24"/>
                <w:szCs w:val="24"/>
                <w:rtl/>
                <w:cs/>
              </w:rPr>
              <w:instrText>NUMPAGES</w:instrText>
            </w:r>
            <w:r w:rsidRPr="0043575A">
              <w:rPr>
                <w:rFonts w:cs="David"/>
                <w:b/>
                <w:bCs/>
                <w:sz w:val="24"/>
                <w:szCs w:val="24"/>
              </w:rPr>
              <w:fldChar w:fldCharType="separate"/>
            </w:r>
            <w:r w:rsidR="00497161">
              <w:rPr>
                <w:rFonts w:cs="David"/>
                <w:b/>
                <w:bCs/>
                <w:noProof/>
                <w:sz w:val="24"/>
                <w:szCs w:val="24"/>
                <w:rtl/>
              </w:rPr>
              <w:t>4</w:t>
            </w:r>
            <w:r w:rsidRPr="0043575A">
              <w:rPr>
                <w:rFonts w:cs="David"/>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56D" w:rsidRDefault="004F156D" w:rsidP="00632F67">
      <w:pPr>
        <w:spacing w:after="0" w:line="240" w:lineRule="auto"/>
      </w:pPr>
      <w:r>
        <w:separator/>
      </w:r>
    </w:p>
  </w:footnote>
  <w:footnote w:type="continuationSeparator" w:id="0">
    <w:p w:rsidR="004F156D" w:rsidRDefault="004F156D" w:rsidP="00632F67">
      <w:pPr>
        <w:spacing w:after="0" w:line="240" w:lineRule="auto"/>
      </w:pPr>
      <w:r>
        <w:continuationSeparator/>
      </w:r>
    </w:p>
  </w:footnote>
  <w:footnote w:id="1">
    <w:p w:rsidR="00632F67" w:rsidRDefault="00632F67" w:rsidP="00632F67">
      <w:pPr>
        <w:pStyle w:val="a4"/>
        <w:jc w:val="both"/>
        <w:rPr>
          <w:rtl/>
        </w:rPr>
      </w:pPr>
      <w:r>
        <w:rPr>
          <w:rStyle w:val="a6"/>
        </w:rPr>
        <w:footnoteRef/>
      </w:r>
      <w:r>
        <w:rPr>
          <w:rtl/>
        </w:rPr>
        <w:t xml:space="preserve"> </w:t>
      </w:r>
      <w:r w:rsidRPr="002C6084">
        <w:rPr>
          <w:rFonts w:cs="David" w:hint="cs"/>
          <w:rtl/>
        </w:rPr>
        <w:t>הנתונים על גביית מס ערך מוסף על דירות אינם מדווחים באופן ישיר ומתבססים על חישוב שנערך בבנק ישראל.</w:t>
      </w:r>
    </w:p>
  </w:footnote>
  <w:footnote w:id="2">
    <w:p w:rsidR="00C13BDD" w:rsidRDefault="00C13BDD" w:rsidP="00C13BDD">
      <w:pPr>
        <w:pStyle w:val="a4"/>
        <w:jc w:val="both"/>
        <w:rPr>
          <w:rtl/>
        </w:rPr>
      </w:pPr>
      <w:r>
        <w:rPr>
          <w:rStyle w:val="a6"/>
        </w:rPr>
        <w:footnoteRef/>
      </w:r>
      <w:r>
        <w:rPr>
          <w:rtl/>
        </w:rPr>
        <w:t xml:space="preserve"> </w:t>
      </w:r>
      <w:r w:rsidRPr="004741D7">
        <w:rPr>
          <w:rFonts w:cs="David" w:hint="cs"/>
          <w:rtl/>
        </w:rPr>
        <w:t>סך התוספות וההפחתות בשיעורי המס ב-2017 מקזזות בקרוב אלו את אלו.</w:t>
      </w:r>
    </w:p>
  </w:footnote>
  <w:footnote w:id="3">
    <w:p w:rsidR="00C13BDD" w:rsidRDefault="00C13BDD" w:rsidP="00C13BDD">
      <w:pPr>
        <w:pStyle w:val="a4"/>
        <w:jc w:val="both"/>
      </w:pPr>
      <w:r>
        <w:rPr>
          <w:rStyle w:val="a6"/>
        </w:rPr>
        <w:footnoteRef/>
      </w:r>
      <w:r>
        <w:rPr>
          <w:rtl/>
        </w:rPr>
        <w:t xml:space="preserve"> </w:t>
      </w:r>
      <w:r w:rsidRPr="00E41964">
        <w:rPr>
          <w:rFonts w:cs="David" w:hint="cs"/>
          <w:rtl/>
        </w:rPr>
        <w:t>ההוצאות המותנות בהכנסה הן הוצאות שמתבצעות רק אם מתקבלות הכנסות ממקור ספציפי, שמיועד מראש להוצאה זאת.</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7E2838"/>
    <w:multiLevelType w:val="hybridMultilevel"/>
    <w:tmpl w:val="5518F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6B0"/>
    <w:rsid w:val="000159F0"/>
    <w:rsid w:val="000C753A"/>
    <w:rsid w:val="001A5F73"/>
    <w:rsid w:val="001D1B06"/>
    <w:rsid w:val="002236B0"/>
    <w:rsid w:val="00450639"/>
    <w:rsid w:val="00460535"/>
    <w:rsid w:val="00491EAA"/>
    <w:rsid w:val="00497161"/>
    <w:rsid w:val="004F156D"/>
    <w:rsid w:val="00632F67"/>
    <w:rsid w:val="006A3707"/>
    <w:rsid w:val="006C2AEC"/>
    <w:rsid w:val="00705D49"/>
    <w:rsid w:val="007106F9"/>
    <w:rsid w:val="00736E84"/>
    <w:rsid w:val="0087176F"/>
    <w:rsid w:val="0094071E"/>
    <w:rsid w:val="00960722"/>
    <w:rsid w:val="009A3331"/>
    <w:rsid w:val="009B259B"/>
    <w:rsid w:val="009C67B0"/>
    <w:rsid w:val="00AA0D85"/>
    <w:rsid w:val="00AC3BD5"/>
    <w:rsid w:val="00B20693"/>
    <w:rsid w:val="00B6192E"/>
    <w:rsid w:val="00B76C29"/>
    <w:rsid w:val="00B976A1"/>
    <w:rsid w:val="00BE63EB"/>
    <w:rsid w:val="00C13BDD"/>
    <w:rsid w:val="00C26D88"/>
    <w:rsid w:val="00CC0EC9"/>
    <w:rsid w:val="00CE4D89"/>
    <w:rsid w:val="00D06169"/>
    <w:rsid w:val="00DD6A76"/>
    <w:rsid w:val="00E461D7"/>
    <w:rsid w:val="00E75BBB"/>
    <w:rsid w:val="00E923F6"/>
    <w:rsid w:val="00EF6696"/>
    <w:rsid w:val="00F32A31"/>
    <w:rsid w:val="00F836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6B0"/>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D89"/>
    <w:pPr>
      <w:ind w:left="720"/>
      <w:contextualSpacing/>
    </w:pPr>
    <w:rPr>
      <w:rFonts w:asciiTheme="minorHAnsi" w:eastAsiaTheme="minorHAnsi" w:hAnsiTheme="minorHAnsi" w:cstheme="minorBidi"/>
    </w:rPr>
  </w:style>
  <w:style w:type="paragraph" w:styleId="a4">
    <w:name w:val="footnote text"/>
    <w:basedOn w:val="a"/>
    <w:link w:val="a5"/>
    <w:uiPriority w:val="99"/>
    <w:unhideWhenUsed/>
    <w:rsid w:val="00632F67"/>
    <w:pPr>
      <w:spacing w:after="0" w:line="240" w:lineRule="auto"/>
    </w:pPr>
    <w:rPr>
      <w:rFonts w:asciiTheme="minorHAnsi" w:eastAsiaTheme="minorHAnsi" w:hAnsiTheme="minorHAnsi" w:cstheme="minorBidi"/>
      <w:sz w:val="20"/>
      <w:szCs w:val="20"/>
    </w:rPr>
  </w:style>
  <w:style w:type="character" w:customStyle="1" w:styleId="a5">
    <w:name w:val="טקסט הערת שוליים תו"/>
    <w:basedOn w:val="a0"/>
    <w:link w:val="a4"/>
    <w:uiPriority w:val="99"/>
    <w:rsid w:val="00632F67"/>
    <w:rPr>
      <w:sz w:val="20"/>
      <w:szCs w:val="20"/>
    </w:rPr>
  </w:style>
  <w:style w:type="character" w:styleId="a6">
    <w:name w:val="footnote reference"/>
    <w:basedOn w:val="a0"/>
    <w:uiPriority w:val="99"/>
    <w:semiHidden/>
    <w:unhideWhenUsed/>
    <w:rsid w:val="00632F67"/>
    <w:rPr>
      <w:vertAlign w:val="superscript"/>
    </w:rPr>
  </w:style>
  <w:style w:type="paragraph" w:styleId="a7">
    <w:name w:val="Balloon Text"/>
    <w:basedOn w:val="a"/>
    <w:link w:val="a8"/>
    <w:uiPriority w:val="99"/>
    <w:semiHidden/>
    <w:unhideWhenUsed/>
    <w:rsid w:val="00F83659"/>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F83659"/>
    <w:rPr>
      <w:rFonts w:ascii="Tahoma" w:eastAsia="Times New Roman" w:hAnsi="Tahoma" w:cs="Tahoma"/>
      <w:sz w:val="16"/>
      <w:szCs w:val="16"/>
    </w:rPr>
  </w:style>
  <w:style w:type="character" w:styleId="a9">
    <w:name w:val="annotation reference"/>
    <w:basedOn w:val="a0"/>
    <w:uiPriority w:val="99"/>
    <w:semiHidden/>
    <w:unhideWhenUsed/>
    <w:rsid w:val="007106F9"/>
    <w:rPr>
      <w:sz w:val="16"/>
      <w:szCs w:val="16"/>
    </w:rPr>
  </w:style>
  <w:style w:type="paragraph" w:styleId="aa">
    <w:name w:val="annotation text"/>
    <w:basedOn w:val="a"/>
    <w:link w:val="ab"/>
    <w:uiPriority w:val="99"/>
    <w:semiHidden/>
    <w:unhideWhenUsed/>
    <w:rsid w:val="007106F9"/>
    <w:pPr>
      <w:spacing w:line="240" w:lineRule="auto"/>
    </w:pPr>
    <w:rPr>
      <w:sz w:val="20"/>
      <w:szCs w:val="20"/>
    </w:rPr>
  </w:style>
  <w:style w:type="character" w:customStyle="1" w:styleId="ab">
    <w:name w:val="טקסט הערה תו"/>
    <w:basedOn w:val="a0"/>
    <w:link w:val="aa"/>
    <w:uiPriority w:val="99"/>
    <w:semiHidden/>
    <w:rsid w:val="007106F9"/>
    <w:rPr>
      <w:rFonts w:ascii="Calibri" w:eastAsia="Times New Roman" w:hAnsi="Calibri" w:cs="Arial"/>
      <w:sz w:val="20"/>
      <w:szCs w:val="20"/>
    </w:rPr>
  </w:style>
  <w:style w:type="paragraph" w:styleId="ac">
    <w:name w:val="annotation subject"/>
    <w:basedOn w:val="aa"/>
    <w:next w:val="aa"/>
    <w:link w:val="ad"/>
    <w:uiPriority w:val="99"/>
    <w:semiHidden/>
    <w:unhideWhenUsed/>
    <w:rsid w:val="007106F9"/>
    <w:rPr>
      <w:b/>
      <w:bCs/>
    </w:rPr>
  </w:style>
  <w:style w:type="character" w:customStyle="1" w:styleId="ad">
    <w:name w:val="נושא הערה תו"/>
    <w:basedOn w:val="ab"/>
    <w:link w:val="ac"/>
    <w:uiPriority w:val="99"/>
    <w:semiHidden/>
    <w:rsid w:val="007106F9"/>
    <w:rPr>
      <w:rFonts w:ascii="Calibri" w:eastAsia="Times New Roman" w:hAnsi="Calibri" w:cs="Arial"/>
      <w:b/>
      <w:bCs/>
      <w:sz w:val="20"/>
      <w:szCs w:val="20"/>
    </w:rPr>
  </w:style>
  <w:style w:type="paragraph" w:styleId="ae">
    <w:name w:val="header"/>
    <w:basedOn w:val="a"/>
    <w:link w:val="af"/>
    <w:uiPriority w:val="99"/>
    <w:unhideWhenUsed/>
    <w:rsid w:val="00D06169"/>
    <w:pPr>
      <w:tabs>
        <w:tab w:val="center" w:pos="4153"/>
        <w:tab w:val="right" w:pos="8306"/>
      </w:tabs>
      <w:spacing w:after="0" w:line="240" w:lineRule="auto"/>
    </w:pPr>
  </w:style>
  <w:style w:type="character" w:customStyle="1" w:styleId="af">
    <w:name w:val="כותרת עליונה תו"/>
    <w:basedOn w:val="a0"/>
    <w:link w:val="ae"/>
    <w:uiPriority w:val="99"/>
    <w:rsid w:val="00D06169"/>
    <w:rPr>
      <w:rFonts w:ascii="Calibri" w:eastAsia="Times New Roman" w:hAnsi="Calibri" w:cs="Arial"/>
    </w:rPr>
  </w:style>
  <w:style w:type="paragraph" w:styleId="af0">
    <w:name w:val="footer"/>
    <w:basedOn w:val="a"/>
    <w:link w:val="af1"/>
    <w:uiPriority w:val="99"/>
    <w:unhideWhenUsed/>
    <w:rsid w:val="00D06169"/>
    <w:pPr>
      <w:tabs>
        <w:tab w:val="center" w:pos="4153"/>
        <w:tab w:val="right" w:pos="8306"/>
      </w:tabs>
      <w:spacing w:after="0" w:line="240" w:lineRule="auto"/>
    </w:pPr>
  </w:style>
  <w:style w:type="character" w:customStyle="1" w:styleId="af1">
    <w:name w:val="כותרת תחתונה תו"/>
    <w:basedOn w:val="a0"/>
    <w:link w:val="af0"/>
    <w:uiPriority w:val="99"/>
    <w:rsid w:val="00D06169"/>
    <w:rPr>
      <w:rFonts w:ascii="Calibri" w:eastAsia="Times New Roman"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36B0"/>
    <w:pPr>
      <w:bidi/>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4D89"/>
    <w:pPr>
      <w:ind w:left="720"/>
      <w:contextualSpacing/>
    </w:pPr>
    <w:rPr>
      <w:rFonts w:asciiTheme="minorHAnsi" w:eastAsiaTheme="minorHAnsi" w:hAnsiTheme="minorHAnsi" w:cstheme="minorBidi"/>
    </w:rPr>
  </w:style>
  <w:style w:type="paragraph" w:styleId="a4">
    <w:name w:val="footnote text"/>
    <w:basedOn w:val="a"/>
    <w:link w:val="a5"/>
    <w:uiPriority w:val="99"/>
    <w:unhideWhenUsed/>
    <w:rsid w:val="00632F67"/>
    <w:pPr>
      <w:spacing w:after="0" w:line="240" w:lineRule="auto"/>
    </w:pPr>
    <w:rPr>
      <w:rFonts w:asciiTheme="minorHAnsi" w:eastAsiaTheme="minorHAnsi" w:hAnsiTheme="minorHAnsi" w:cstheme="minorBidi"/>
      <w:sz w:val="20"/>
      <w:szCs w:val="20"/>
    </w:rPr>
  </w:style>
  <w:style w:type="character" w:customStyle="1" w:styleId="a5">
    <w:name w:val="טקסט הערת שוליים תו"/>
    <w:basedOn w:val="a0"/>
    <w:link w:val="a4"/>
    <w:uiPriority w:val="99"/>
    <w:rsid w:val="00632F67"/>
    <w:rPr>
      <w:sz w:val="20"/>
      <w:szCs w:val="20"/>
    </w:rPr>
  </w:style>
  <w:style w:type="character" w:styleId="a6">
    <w:name w:val="footnote reference"/>
    <w:basedOn w:val="a0"/>
    <w:uiPriority w:val="99"/>
    <w:semiHidden/>
    <w:unhideWhenUsed/>
    <w:rsid w:val="00632F67"/>
    <w:rPr>
      <w:vertAlign w:val="superscript"/>
    </w:rPr>
  </w:style>
  <w:style w:type="paragraph" w:styleId="a7">
    <w:name w:val="Balloon Text"/>
    <w:basedOn w:val="a"/>
    <w:link w:val="a8"/>
    <w:uiPriority w:val="99"/>
    <w:semiHidden/>
    <w:unhideWhenUsed/>
    <w:rsid w:val="00F83659"/>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F83659"/>
    <w:rPr>
      <w:rFonts w:ascii="Tahoma" w:eastAsia="Times New Roman" w:hAnsi="Tahoma" w:cs="Tahoma"/>
      <w:sz w:val="16"/>
      <w:szCs w:val="16"/>
    </w:rPr>
  </w:style>
  <w:style w:type="character" w:styleId="a9">
    <w:name w:val="annotation reference"/>
    <w:basedOn w:val="a0"/>
    <w:uiPriority w:val="99"/>
    <w:semiHidden/>
    <w:unhideWhenUsed/>
    <w:rsid w:val="007106F9"/>
    <w:rPr>
      <w:sz w:val="16"/>
      <w:szCs w:val="16"/>
    </w:rPr>
  </w:style>
  <w:style w:type="paragraph" w:styleId="aa">
    <w:name w:val="annotation text"/>
    <w:basedOn w:val="a"/>
    <w:link w:val="ab"/>
    <w:uiPriority w:val="99"/>
    <w:semiHidden/>
    <w:unhideWhenUsed/>
    <w:rsid w:val="007106F9"/>
    <w:pPr>
      <w:spacing w:line="240" w:lineRule="auto"/>
    </w:pPr>
    <w:rPr>
      <w:sz w:val="20"/>
      <w:szCs w:val="20"/>
    </w:rPr>
  </w:style>
  <w:style w:type="character" w:customStyle="1" w:styleId="ab">
    <w:name w:val="טקסט הערה תו"/>
    <w:basedOn w:val="a0"/>
    <w:link w:val="aa"/>
    <w:uiPriority w:val="99"/>
    <w:semiHidden/>
    <w:rsid w:val="007106F9"/>
    <w:rPr>
      <w:rFonts w:ascii="Calibri" w:eastAsia="Times New Roman" w:hAnsi="Calibri" w:cs="Arial"/>
      <w:sz w:val="20"/>
      <w:szCs w:val="20"/>
    </w:rPr>
  </w:style>
  <w:style w:type="paragraph" w:styleId="ac">
    <w:name w:val="annotation subject"/>
    <w:basedOn w:val="aa"/>
    <w:next w:val="aa"/>
    <w:link w:val="ad"/>
    <w:uiPriority w:val="99"/>
    <w:semiHidden/>
    <w:unhideWhenUsed/>
    <w:rsid w:val="007106F9"/>
    <w:rPr>
      <w:b/>
      <w:bCs/>
    </w:rPr>
  </w:style>
  <w:style w:type="character" w:customStyle="1" w:styleId="ad">
    <w:name w:val="נושא הערה תו"/>
    <w:basedOn w:val="ab"/>
    <w:link w:val="ac"/>
    <w:uiPriority w:val="99"/>
    <w:semiHidden/>
    <w:rsid w:val="007106F9"/>
    <w:rPr>
      <w:rFonts w:ascii="Calibri" w:eastAsia="Times New Roman" w:hAnsi="Calibri" w:cs="Arial"/>
      <w:b/>
      <w:bCs/>
      <w:sz w:val="20"/>
      <w:szCs w:val="20"/>
    </w:rPr>
  </w:style>
  <w:style w:type="paragraph" w:styleId="ae">
    <w:name w:val="header"/>
    <w:basedOn w:val="a"/>
    <w:link w:val="af"/>
    <w:uiPriority w:val="99"/>
    <w:unhideWhenUsed/>
    <w:rsid w:val="00D06169"/>
    <w:pPr>
      <w:tabs>
        <w:tab w:val="center" w:pos="4153"/>
        <w:tab w:val="right" w:pos="8306"/>
      </w:tabs>
      <w:spacing w:after="0" w:line="240" w:lineRule="auto"/>
    </w:pPr>
  </w:style>
  <w:style w:type="character" w:customStyle="1" w:styleId="af">
    <w:name w:val="כותרת עליונה תו"/>
    <w:basedOn w:val="a0"/>
    <w:link w:val="ae"/>
    <w:uiPriority w:val="99"/>
    <w:rsid w:val="00D06169"/>
    <w:rPr>
      <w:rFonts w:ascii="Calibri" w:eastAsia="Times New Roman" w:hAnsi="Calibri" w:cs="Arial"/>
    </w:rPr>
  </w:style>
  <w:style w:type="paragraph" w:styleId="af0">
    <w:name w:val="footer"/>
    <w:basedOn w:val="a"/>
    <w:link w:val="af1"/>
    <w:uiPriority w:val="99"/>
    <w:unhideWhenUsed/>
    <w:rsid w:val="00D06169"/>
    <w:pPr>
      <w:tabs>
        <w:tab w:val="center" w:pos="4153"/>
        <w:tab w:val="right" w:pos="8306"/>
      </w:tabs>
      <w:spacing w:after="0" w:line="240" w:lineRule="auto"/>
    </w:pPr>
  </w:style>
  <w:style w:type="character" w:customStyle="1" w:styleId="af1">
    <w:name w:val="כותרת תחתונה תו"/>
    <w:basedOn w:val="a0"/>
    <w:link w:val="af0"/>
    <w:uiPriority w:val="99"/>
    <w:rsid w:val="00D06169"/>
    <w:rPr>
      <w:rFonts w:ascii="Calibri" w:eastAsia="Times New Roman"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960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E50EB26F-66DB-436D-A252-A25411501197}"/>
</file>

<file path=customXml/itemProps2.xml><?xml version="1.0" encoding="utf-8"?>
<ds:datastoreItem xmlns:ds="http://schemas.openxmlformats.org/officeDocument/2006/customXml" ds:itemID="{9D1B8507-1D83-446B-B893-BB9EC4C35E35}"/>
</file>

<file path=customXml/itemProps3.xml><?xml version="1.0" encoding="utf-8"?>
<ds:datastoreItem xmlns:ds="http://schemas.openxmlformats.org/officeDocument/2006/customXml" ds:itemID="{F1B2DC07-5566-4AB4-8CE9-A7761ECFC4FF}"/>
</file>

<file path=docProps/app.xml><?xml version="1.0" encoding="utf-8"?>
<Properties xmlns="http://schemas.openxmlformats.org/officeDocument/2006/extended-properties" xmlns:vt="http://schemas.openxmlformats.org/officeDocument/2006/docPropsVTypes">
  <Template>Normal</Template>
  <TotalTime>0</TotalTime>
  <Pages>4</Pages>
  <Words>1426</Words>
  <Characters>7133</Characters>
  <Application>Microsoft Office Word</Application>
  <DocSecurity>0</DocSecurity>
  <Lines>59</Lines>
  <Paragraphs>17</Paragraphs>
  <ScaleCrop>false</ScaleCrop>
  <HeadingPairs>
    <vt:vector size="2" baseType="variant">
      <vt:variant>
        <vt:lpstr>שם</vt:lpstr>
      </vt:variant>
      <vt:variant>
        <vt:i4>1</vt:i4>
      </vt:variant>
    </vt:vector>
  </HeadingPairs>
  <TitlesOfParts>
    <vt:vector size="1" baseType="lpstr">
      <vt:lpstr/>
    </vt:vector>
  </TitlesOfParts>
  <Company>BOI</Company>
  <LinksUpToDate>false</LinksUpToDate>
  <CharactersWithSpaces>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אורי ברזני</dc:creator>
  <cp:lastModifiedBy>Rickey Achdut Dovrut BOI</cp:lastModifiedBy>
  <cp:revision>6</cp:revision>
  <cp:lastPrinted>2017-03-20T11:52:00Z</cp:lastPrinted>
  <dcterms:created xsi:type="dcterms:W3CDTF">2017-03-22T06:17:00Z</dcterms:created>
  <dcterms:modified xsi:type="dcterms:W3CDTF">2017-03-22T13:57:00Z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