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A30D43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A30D43" w:rsidRDefault="00DD5923" w:rsidP="00A30D43">
            <w:pPr>
              <w:spacing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A30D43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A30D43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A30D43" w:rsidRDefault="00DD5923" w:rsidP="00A30D43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A30D43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A30D43" w:rsidRDefault="00572B04" w:rsidP="00D87676">
            <w:pPr>
              <w:jc w:val="center"/>
              <w:rPr>
                <w:rFonts w:ascii="Arial" w:hAnsi="Arial" w:cs="David"/>
              </w:rPr>
            </w:pPr>
            <w:r w:rsidRPr="00A30D43">
              <w:rPr>
                <w:rFonts w:cs="David"/>
                <w:noProof/>
                <w:lang w:eastAsia="en-US"/>
              </w:rPr>
              <w:drawing>
                <wp:inline distT="0" distB="0" distL="0" distR="0" wp14:anchorId="57E2DCA9" wp14:editId="35381D0E">
                  <wp:extent cx="734291" cy="734291"/>
                  <wp:effectExtent l="0" t="0" r="8890" b="8890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8" cy="7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A30D43" w:rsidRDefault="0089040A" w:rsidP="00A06D00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A30D43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A06D00" w:rsidRPr="00A30D43">
              <w:rPr>
                <w:rFonts w:ascii="Arial" w:hAnsi="Arial" w:cs="David" w:hint="cs"/>
                <w:sz w:val="24"/>
                <w:szCs w:val="24"/>
                <w:rtl/>
              </w:rPr>
              <w:t>יא</w:t>
            </w:r>
            <w:r w:rsidR="007B6206" w:rsidRPr="00A30D43">
              <w:rPr>
                <w:rFonts w:ascii="Arial" w:hAnsi="Arial" w:cs="David" w:hint="cs"/>
                <w:sz w:val="24"/>
                <w:szCs w:val="24"/>
                <w:rtl/>
              </w:rPr>
              <w:t>'</w:t>
            </w:r>
            <w:r w:rsidR="00F426C3" w:rsidRPr="00A30D43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A30D43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A06D00" w:rsidRPr="00A30D43">
              <w:rPr>
                <w:rFonts w:ascii="Arial" w:hAnsi="Arial" w:cs="David" w:hint="cs"/>
                <w:sz w:val="24"/>
                <w:szCs w:val="24"/>
                <w:rtl/>
              </w:rPr>
              <w:t>אדר ב</w:t>
            </w:r>
            <w:r w:rsidR="00C411E7" w:rsidRPr="00A30D43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A30D43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A06D00" w:rsidRPr="00A30D43">
              <w:rPr>
                <w:rFonts w:ascii="Arial" w:hAnsi="Arial" w:cs="David" w:hint="cs"/>
                <w:sz w:val="24"/>
                <w:szCs w:val="24"/>
                <w:rtl/>
              </w:rPr>
              <w:t>ט</w:t>
            </w:r>
          </w:p>
          <w:p w:rsidR="00DD5923" w:rsidRPr="00A30D43" w:rsidRDefault="0089040A" w:rsidP="00A06D00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A30D43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A06D00" w:rsidRPr="00A30D43">
              <w:rPr>
                <w:rFonts w:ascii="Arial" w:hAnsi="Arial" w:cs="David" w:hint="cs"/>
                <w:sz w:val="24"/>
                <w:szCs w:val="24"/>
                <w:rtl/>
              </w:rPr>
              <w:t>18</w:t>
            </w:r>
            <w:r w:rsidR="00A17283" w:rsidRPr="00A30D43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F426C3" w:rsidRPr="00A30D43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631A91" w:rsidRPr="00A30D43">
              <w:rPr>
                <w:rFonts w:ascii="Arial" w:hAnsi="Arial" w:cs="David" w:hint="cs"/>
                <w:sz w:val="24"/>
                <w:szCs w:val="24"/>
                <w:rtl/>
              </w:rPr>
              <w:t>מרץ 201</w:t>
            </w:r>
            <w:r w:rsidR="00A06D00" w:rsidRPr="00A30D43">
              <w:rPr>
                <w:rFonts w:ascii="Arial" w:hAnsi="Arial" w:cs="David" w:hint="cs"/>
                <w:sz w:val="24"/>
                <w:szCs w:val="24"/>
                <w:rtl/>
              </w:rPr>
              <w:t>9</w:t>
            </w:r>
          </w:p>
        </w:tc>
      </w:tr>
    </w:tbl>
    <w:p w:rsidR="00FE034E" w:rsidRPr="00A30D43" w:rsidRDefault="00FE034E" w:rsidP="007E18EE">
      <w:pPr>
        <w:bidi/>
        <w:rPr>
          <w:rFonts w:ascii="Arial" w:hAnsi="Arial" w:cs="David"/>
          <w:rtl/>
        </w:rPr>
      </w:pPr>
    </w:p>
    <w:p w:rsidR="00C9322A" w:rsidRPr="00A30D43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A30D43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A30D43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A30D43" w:rsidRDefault="00C9322A" w:rsidP="00A06D00">
      <w:pPr>
        <w:pStyle w:val="af4"/>
        <w:rPr>
          <w:rFonts w:cs="David"/>
          <w:rtl/>
        </w:rPr>
      </w:pPr>
      <w:r w:rsidRPr="00A30D43">
        <w:rPr>
          <w:rFonts w:cs="David"/>
          <w:rtl/>
        </w:rPr>
        <w:t xml:space="preserve">התפתחות החוב </w:t>
      </w:r>
      <w:r w:rsidR="00802DF3" w:rsidRPr="00A30D43">
        <w:rPr>
          <w:rFonts w:cs="David" w:hint="cs"/>
          <w:rtl/>
        </w:rPr>
        <w:t xml:space="preserve">של המגזר הפרטי </w:t>
      </w:r>
      <w:r w:rsidR="0077544B" w:rsidRPr="00A30D43">
        <w:rPr>
          <w:rFonts w:cs="David" w:hint="cs"/>
          <w:rtl/>
        </w:rPr>
        <w:t>הלא</w:t>
      </w:r>
      <w:r w:rsidR="00E44E3D" w:rsidRPr="00A30D43">
        <w:rPr>
          <w:rFonts w:cs="David" w:hint="cs"/>
          <w:rtl/>
        </w:rPr>
        <w:t>-</w:t>
      </w:r>
      <w:r w:rsidR="0077544B" w:rsidRPr="00A30D43">
        <w:rPr>
          <w:rFonts w:cs="David" w:hint="cs"/>
          <w:rtl/>
        </w:rPr>
        <w:t xml:space="preserve">פיננסי </w:t>
      </w:r>
      <w:r w:rsidR="00FC2095" w:rsidRPr="00A30D43">
        <w:rPr>
          <w:rFonts w:cs="David" w:hint="cs"/>
          <w:rtl/>
        </w:rPr>
        <w:t xml:space="preserve">ברביע </w:t>
      </w:r>
      <w:r w:rsidR="00E44E3D" w:rsidRPr="00A30D43">
        <w:rPr>
          <w:rFonts w:cs="David" w:hint="cs"/>
          <w:rtl/>
        </w:rPr>
        <w:t>ה</w:t>
      </w:r>
      <w:r w:rsidR="00631A91" w:rsidRPr="00A30D43">
        <w:rPr>
          <w:rFonts w:cs="David" w:hint="cs"/>
          <w:rtl/>
        </w:rPr>
        <w:t>רביעי</w:t>
      </w:r>
      <w:r w:rsidR="00802DF3" w:rsidRPr="00A30D43">
        <w:rPr>
          <w:rFonts w:cs="David" w:hint="cs"/>
          <w:rtl/>
        </w:rPr>
        <w:t xml:space="preserve"> של</w:t>
      </w:r>
      <w:r w:rsidRPr="00A30D43">
        <w:rPr>
          <w:rFonts w:cs="David"/>
          <w:rtl/>
        </w:rPr>
        <w:t xml:space="preserve"> </w:t>
      </w:r>
      <w:r w:rsidR="00A06D00" w:rsidRPr="00A30D43">
        <w:rPr>
          <w:rFonts w:cs="David" w:hint="cs"/>
          <w:rtl/>
        </w:rPr>
        <w:t>2018</w:t>
      </w:r>
    </w:p>
    <w:p w:rsidR="00260F11" w:rsidRPr="00A30D43" w:rsidRDefault="00260F11" w:rsidP="00260F11">
      <w:pPr>
        <w:bidi/>
        <w:spacing w:line="360" w:lineRule="auto"/>
        <w:ind w:right="-101"/>
        <w:jc w:val="both"/>
        <w:rPr>
          <w:rFonts w:ascii="Arial" w:hAnsi="Arial" w:cs="David"/>
          <w:i/>
          <w:iCs/>
          <w:sz w:val="24"/>
          <w:szCs w:val="24"/>
          <w:rtl/>
        </w:rPr>
      </w:pPr>
    </w:p>
    <w:p w:rsidR="00260F11" w:rsidRPr="00A30D43" w:rsidRDefault="00260F11" w:rsidP="00A06D00">
      <w:pPr>
        <w:bidi/>
        <w:spacing w:line="360" w:lineRule="auto"/>
        <w:ind w:right="-101"/>
        <w:jc w:val="both"/>
        <w:rPr>
          <w:rFonts w:ascii="Arial" w:hAnsi="Arial" w:cs="David"/>
          <w:i/>
          <w:iCs/>
          <w:sz w:val="24"/>
          <w:szCs w:val="24"/>
          <w:rtl/>
        </w:rPr>
      </w:pPr>
      <w:r w:rsidRPr="00A30D43">
        <w:rPr>
          <w:rFonts w:ascii="Arial" w:hAnsi="Arial" w:cs="David" w:hint="cs"/>
          <w:i/>
          <w:iCs/>
          <w:sz w:val="24"/>
          <w:szCs w:val="24"/>
          <w:rtl/>
        </w:rPr>
        <w:t xml:space="preserve">לניתוח התפתחויות החוב בשנת </w:t>
      </w:r>
      <w:r w:rsidR="00A06D00" w:rsidRPr="00A30D43">
        <w:rPr>
          <w:rFonts w:ascii="Arial" w:hAnsi="Arial" w:cs="David" w:hint="cs"/>
          <w:i/>
          <w:iCs/>
          <w:sz w:val="24"/>
          <w:szCs w:val="24"/>
          <w:rtl/>
        </w:rPr>
        <w:t>2018</w:t>
      </w:r>
      <w:r w:rsidRPr="00A30D43">
        <w:rPr>
          <w:rFonts w:ascii="Arial" w:hAnsi="Arial" w:cs="David" w:hint="cs"/>
          <w:i/>
          <w:iCs/>
          <w:sz w:val="24"/>
          <w:szCs w:val="24"/>
          <w:rtl/>
        </w:rPr>
        <w:t xml:space="preserve"> כולה</w:t>
      </w:r>
      <w:r w:rsidR="000F3559" w:rsidRPr="00A30D43">
        <w:rPr>
          <w:rFonts w:ascii="Arial" w:hAnsi="Arial" w:cs="David" w:hint="cs"/>
          <w:i/>
          <w:iCs/>
          <w:sz w:val="24"/>
          <w:szCs w:val="24"/>
          <w:rtl/>
        </w:rPr>
        <w:t xml:space="preserve"> </w:t>
      </w:r>
      <w:r w:rsidRPr="00A30D43">
        <w:rPr>
          <w:rFonts w:ascii="Arial" w:hAnsi="Arial" w:cs="David" w:hint="cs"/>
          <w:i/>
          <w:iCs/>
          <w:sz w:val="24"/>
          <w:szCs w:val="24"/>
          <w:rtl/>
        </w:rPr>
        <w:t xml:space="preserve">ראו </w:t>
      </w:r>
      <w:hyperlink r:id="rId10" w:history="1">
        <w:r w:rsidRPr="00A30D43">
          <w:rPr>
            <w:rStyle w:val="Hyperlink"/>
            <w:rFonts w:ascii="Arial" w:hAnsi="Arial" w:cs="David" w:hint="cs"/>
            <w:i/>
            <w:iCs/>
            <w:sz w:val="24"/>
            <w:szCs w:val="24"/>
            <w:rtl/>
          </w:rPr>
          <w:t>'החוב של המגזר הפרטי הלא-פיננסי'</w:t>
        </w:r>
      </w:hyperlink>
      <w:r w:rsidRPr="00A30D43">
        <w:rPr>
          <w:rFonts w:ascii="Arial" w:hAnsi="Arial" w:cs="David" w:hint="cs"/>
          <w:i/>
          <w:iCs/>
          <w:sz w:val="24"/>
          <w:szCs w:val="24"/>
          <w:rtl/>
        </w:rPr>
        <w:t xml:space="preserve"> בחלק א' של פרסום 'מבט סטטיסטי 201</w:t>
      </w:r>
      <w:r w:rsidR="00A06D00" w:rsidRPr="00A30D43">
        <w:rPr>
          <w:rFonts w:ascii="Arial" w:hAnsi="Arial" w:cs="David" w:hint="cs"/>
          <w:i/>
          <w:iCs/>
          <w:sz w:val="24"/>
          <w:szCs w:val="24"/>
          <w:rtl/>
        </w:rPr>
        <w:t>8</w:t>
      </w:r>
      <w:r w:rsidRPr="00A30D43">
        <w:rPr>
          <w:rFonts w:ascii="Arial" w:hAnsi="Arial" w:cs="David" w:hint="cs"/>
          <w:i/>
          <w:iCs/>
          <w:sz w:val="24"/>
          <w:szCs w:val="24"/>
          <w:rtl/>
        </w:rPr>
        <w:t xml:space="preserve">'. </w:t>
      </w:r>
    </w:p>
    <w:p w:rsidR="00260F11" w:rsidRPr="00A30D43" w:rsidRDefault="00260F11" w:rsidP="00260F11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3030A9" w:rsidRPr="00A30D43" w:rsidRDefault="003030A9" w:rsidP="003030A9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A30D43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A30D43">
        <w:rPr>
          <w:rFonts w:ascii="Arial" w:hAnsi="Arial" w:cs="David" w:hint="cs"/>
          <w:b/>
          <w:bCs/>
          <w:sz w:val="24"/>
          <w:szCs w:val="24"/>
          <w:rtl/>
        </w:rPr>
        <w:t>המגזר הפרטי הלא-פיננסי</w:t>
      </w:r>
      <w:r w:rsidRPr="00A30D43">
        <w:rPr>
          <w:rStyle w:val="af1"/>
          <w:rFonts w:ascii="Arial" w:hAnsi="Arial" w:cs="David"/>
          <w:sz w:val="24"/>
          <w:szCs w:val="24"/>
          <w:rtl/>
        </w:rPr>
        <w:footnoteReference w:id="1"/>
      </w:r>
      <w:r w:rsidRPr="00A30D43">
        <w:rPr>
          <w:rFonts w:ascii="Arial" w:hAnsi="Arial" w:cs="David" w:hint="cs"/>
          <w:sz w:val="24"/>
          <w:szCs w:val="24"/>
          <w:rtl/>
        </w:rPr>
        <w:t xml:space="preserve"> גדלה ברביע הרביעי של שנת 2018 בכ-20 מיליארדי ש"ח (1.4%) לרמה של כ-1.5 טריליוני ש"ח: יתרת החוב של </w:t>
      </w:r>
      <w:r w:rsidRPr="00A30D43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Pr="00A30D43">
        <w:rPr>
          <w:rFonts w:ascii="Arial" w:hAnsi="Arial" w:cs="David" w:hint="cs"/>
          <w:sz w:val="24"/>
          <w:szCs w:val="24"/>
          <w:rtl/>
        </w:rPr>
        <w:t xml:space="preserve"> גדלה ברביע זה בכ-12 מיליארדי ש"ח (1.3%) לרמה של כ-919 מיליארדים; יתרת החוב של </w:t>
      </w:r>
      <w:r w:rsidRPr="00A30D43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Pr="00A30D43">
        <w:rPr>
          <w:rFonts w:ascii="Arial" w:hAnsi="Arial" w:cs="David" w:hint="cs"/>
          <w:sz w:val="24"/>
          <w:szCs w:val="24"/>
          <w:rtl/>
        </w:rPr>
        <w:t xml:space="preserve"> גדלה בכ-8 מיליארדים (1.4%) ועמדה בסוף הרביע על כ-557 מיליארדים </w:t>
      </w:r>
      <w:r w:rsidRPr="00A30D43">
        <w:rPr>
          <w:rFonts w:ascii="Arial" w:hAnsi="Arial" w:cs="David"/>
          <w:sz w:val="24"/>
          <w:szCs w:val="24"/>
          <w:rtl/>
        </w:rPr>
        <w:t>–</w:t>
      </w:r>
      <w:r w:rsidRPr="00A30D43">
        <w:rPr>
          <w:rFonts w:ascii="Arial" w:hAnsi="Arial" w:cs="David" w:hint="cs"/>
          <w:sz w:val="24"/>
          <w:szCs w:val="24"/>
          <w:rtl/>
        </w:rPr>
        <w:t xml:space="preserve"> עיקר הגידול הינו ביתרת החוב לדיור. נמשכת הירידה בקצב הגידול השנתי של יתרת החוב שלא לדיור. </w:t>
      </w:r>
    </w:p>
    <w:p w:rsidR="003030A9" w:rsidRPr="00A30D43" w:rsidRDefault="003030A9" w:rsidP="003030A9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9F574F" w:rsidRPr="00A30D43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A30D43">
        <w:rPr>
          <w:rStyle w:val="10"/>
          <w:rFonts w:cs="David"/>
          <w:rtl/>
        </w:rPr>
        <w:t>החוב של המגזר העסקי</w:t>
      </w:r>
      <w:r w:rsidR="0028327B" w:rsidRPr="00A30D43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340B38" w:rsidRPr="00A30D43" w:rsidRDefault="0089040A" w:rsidP="00C4129A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A30D43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A30D43">
        <w:rPr>
          <w:rFonts w:ascii="Arial" w:hAnsi="Arial" w:cs="David" w:hint="cs"/>
          <w:sz w:val="24"/>
          <w:szCs w:val="24"/>
          <w:rtl/>
        </w:rPr>
        <w:t>ל</w:t>
      </w:r>
      <w:r w:rsidRPr="00A30D43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A30D43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242FFE" w:rsidRPr="00A30D43">
        <w:rPr>
          <w:rFonts w:ascii="Arial" w:hAnsi="Arial" w:cs="David" w:hint="cs"/>
          <w:sz w:val="24"/>
          <w:szCs w:val="24"/>
          <w:rtl/>
        </w:rPr>
        <w:t>ה</w:t>
      </w:r>
      <w:r w:rsidR="00132A42" w:rsidRPr="00A30D43">
        <w:rPr>
          <w:rFonts w:ascii="Arial" w:hAnsi="Arial" w:cs="David" w:hint="cs"/>
          <w:sz w:val="24"/>
          <w:szCs w:val="24"/>
          <w:rtl/>
        </w:rPr>
        <w:t>רביעי</w:t>
      </w:r>
      <w:r w:rsidR="000F7E97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510ABA" w:rsidRPr="00A30D43">
        <w:rPr>
          <w:rFonts w:ascii="Arial" w:hAnsi="Arial" w:cs="David" w:hint="cs"/>
          <w:sz w:val="24"/>
          <w:szCs w:val="24"/>
          <w:rtl/>
        </w:rPr>
        <w:t xml:space="preserve">של </w:t>
      </w:r>
      <w:r w:rsidR="000F7E97" w:rsidRPr="00A30D43">
        <w:rPr>
          <w:rFonts w:ascii="Arial" w:hAnsi="Arial" w:cs="David" w:hint="cs"/>
          <w:sz w:val="24"/>
          <w:szCs w:val="24"/>
          <w:rtl/>
        </w:rPr>
        <w:t>שנת 201</w:t>
      </w:r>
      <w:r w:rsidR="00602DED" w:rsidRPr="00A30D43">
        <w:rPr>
          <w:rFonts w:ascii="Arial" w:hAnsi="Arial" w:cs="David" w:hint="cs"/>
          <w:sz w:val="24"/>
          <w:szCs w:val="24"/>
          <w:rtl/>
        </w:rPr>
        <w:t>8</w:t>
      </w:r>
      <w:r w:rsidR="000F7E97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602DED" w:rsidRPr="00A30D43">
        <w:rPr>
          <w:rFonts w:ascii="Arial" w:hAnsi="Arial" w:cs="David" w:hint="cs"/>
          <w:sz w:val="24"/>
          <w:szCs w:val="24"/>
          <w:rtl/>
        </w:rPr>
        <w:t>גדלה</w:t>
      </w:r>
      <w:r w:rsidR="00807054" w:rsidRPr="00A30D43">
        <w:rPr>
          <w:rFonts w:ascii="Arial" w:hAnsi="Arial" w:cs="David" w:hint="cs"/>
          <w:sz w:val="24"/>
          <w:szCs w:val="24"/>
          <w:rtl/>
        </w:rPr>
        <w:t xml:space="preserve"> יתרת ה</w:t>
      </w:r>
      <w:r w:rsidR="00340B38" w:rsidRPr="00A30D43">
        <w:rPr>
          <w:rFonts w:ascii="Arial" w:hAnsi="Arial" w:cs="David" w:hint="cs"/>
          <w:sz w:val="24"/>
          <w:szCs w:val="24"/>
          <w:rtl/>
        </w:rPr>
        <w:t xml:space="preserve">חוב של המגזר העסקי </w:t>
      </w:r>
      <w:r w:rsidR="00807054" w:rsidRPr="00A30D43">
        <w:rPr>
          <w:rFonts w:ascii="Arial" w:hAnsi="Arial" w:cs="David" w:hint="cs"/>
          <w:sz w:val="24"/>
          <w:szCs w:val="24"/>
          <w:rtl/>
        </w:rPr>
        <w:t>בכ-</w:t>
      </w:r>
      <w:r w:rsidR="00602DED" w:rsidRPr="00A30D43">
        <w:rPr>
          <w:rFonts w:ascii="Arial" w:hAnsi="Arial" w:cs="David" w:hint="cs"/>
          <w:sz w:val="24"/>
          <w:szCs w:val="24"/>
          <w:rtl/>
        </w:rPr>
        <w:t>12</w:t>
      </w:r>
      <w:r w:rsidR="00807054" w:rsidRPr="00A30D43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132A42" w:rsidRPr="00A30D43">
        <w:rPr>
          <w:rFonts w:ascii="Arial" w:hAnsi="Arial" w:cs="David" w:hint="cs"/>
          <w:sz w:val="24"/>
          <w:szCs w:val="24"/>
          <w:rtl/>
        </w:rPr>
        <w:t xml:space="preserve">1.3%) </w:t>
      </w:r>
      <w:r w:rsidR="00807054" w:rsidRPr="00A30D43">
        <w:rPr>
          <w:rFonts w:ascii="Arial" w:hAnsi="Arial" w:cs="David" w:hint="cs"/>
          <w:sz w:val="24"/>
          <w:szCs w:val="24"/>
          <w:rtl/>
        </w:rPr>
        <w:t>לרמה של כ-</w:t>
      </w:r>
      <w:r w:rsidR="00602DED" w:rsidRPr="00A30D43">
        <w:rPr>
          <w:rFonts w:ascii="Arial" w:hAnsi="Arial" w:cs="David" w:hint="cs"/>
          <w:sz w:val="24"/>
          <w:szCs w:val="24"/>
          <w:rtl/>
        </w:rPr>
        <w:t>919</w:t>
      </w:r>
      <w:r w:rsidR="00132A42" w:rsidRPr="00A30D43">
        <w:rPr>
          <w:rFonts w:ascii="Arial" w:hAnsi="Arial" w:cs="David" w:hint="cs"/>
          <w:sz w:val="24"/>
          <w:szCs w:val="24"/>
          <w:rtl/>
        </w:rPr>
        <w:t xml:space="preserve"> מיליארדים</w:t>
      </w:r>
      <w:r w:rsidR="00602DED" w:rsidRPr="00A30D43">
        <w:rPr>
          <w:rFonts w:ascii="Arial" w:hAnsi="Arial" w:cs="David" w:hint="cs"/>
          <w:sz w:val="24"/>
          <w:szCs w:val="24"/>
          <w:rtl/>
        </w:rPr>
        <w:t>. העלייה ביתרת החוב נבעה בעיקר מפיחות של כ-3.3% בשער החליפין של השקל מול הדולר שהגדיל את השווי של החוב הנקוב במט"ח והצמוד לו. לעליי</w:t>
      </w:r>
      <w:r w:rsidR="006A160B" w:rsidRPr="00A30D43">
        <w:rPr>
          <w:rFonts w:ascii="Arial" w:hAnsi="Arial" w:cs="David" w:hint="cs"/>
          <w:sz w:val="24"/>
          <w:szCs w:val="24"/>
          <w:rtl/>
        </w:rPr>
        <w:t>ה</w:t>
      </w:r>
      <w:r w:rsidR="00602DED" w:rsidRPr="00A30D43">
        <w:rPr>
          <w:rFonts w:ascii="Arial" w:hAnsi="Arial" w:cs="David" w:hint="cs"/>
          <w:sz w:val="24"/>
          <w:szCs w:val="24"/>
          <w:rtl/>
        </w:rPr>
        <w:t xml:space="preserve"> ביתרת החוב תרם גם גידול כמותי בהיקף של כ-4.3 מיליארדי ש"ח שהורכב ברובו מגידול בהלוואות מתושבי חוץ ובהלוואות בנקאיות וקוזז בחלקו כתוצאה מהקטנה כמותית בהלוואות מהגופים המוסדיים ו</w:t>
      </w:r>
      <w:r w:rsidR="00C4129A" w:rsidRPr="00A30D43">
        <w:rPr>
          <w:rFonts w:ascii="Arial" w:hAnsi="Arial" w:cs="David" w:hint="cs"/>
          <w:sz w:val="24"/>
          <w:szCs w:val="24"/>
          <w:rtl/>
        </w:rPr>
        <w:t>מ</w:t>
      </w:r>
      <w:r w:rsidR="008215C3" w:rsidRPr="00A30D43">
        <w:rPr>
          <w:rFonts w:ascii="Arial" w:hAnsi="Arial" w:cs="David" w:hint="cs"/>
          <w:sz w:val="24"/>
          <w:szCs w:val="24"/>
          <w:rtl/>
        </w:rPr>
        <w:t xml:space="preserve">פירעונות נטו של </w:t>
      </w:r>
      <w:r w:rsidR="00602DED" w:rsidRPr="00A30D43">
        <w:rPr>
          <w:rFonts w:ascii="Arial" w:hAnsi="Arial" w:cs="David" w:hint="cs"/>
          <w:sz w:val="24"/>
          <w:szCs w:val="24"/>
          <w:rtl/>
        </w:rPr>
        <w:t>אג"ח</w:t>
      </w:r>
      <w:r w:rsidR="008215C3" w:rsidRPr="00A30D43">
        <w:rPr>
          <w:rFonts w:ascii="Arial" w:hAnsi="Arial" w:cs="David" w:hint="cs"/>
          <w:sz w:val="24"/>
          <w:szCs w:val="24"/>
          <w:rtl/>
        </w:rPr>
        <w:t xml:space="preserve"> (סחירות ולא סחירות)</w:t>
      </w:r>
      <w:r w:rsidR="00602DED" w:rsidRPr="00A30D43">
        <w:rPr>
          <w:rFonts w:ascii="Arial" w:hAnsi="Arial" w:cs="David" w:hint="cs"/>
          <w:sz w:val="24"/>
          <w:szCs w:val="24"/>
          <w:rtl/>
        </w:rPr>
        <w:t xml:space="preserve"> בארץ.</w:t>
      </w:r>
      <w:r w:rsidR="004474C7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8215C3" w:rsidRPr="00A30D43">
        <w:rPr>
          <w:rFonts w:ascii="Arial" w:hAnsi="Arial" w:cs="David" w:hint="cs"/>
          <w:sz w:val="24"/>
          <w:szCs w:val="24"/>
          <w:rtl/>
        </w:rPr>
        <w:t>(איור 1)</w:t>
      </w:r>
    </w:p>
    <w:p w:rsidR="006A160B" w:rsidRPr="00A30D43" w:rsidRDefault="00B138C1" w:rsidP="00416818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A30D43">
        <w:rPr>
          <w:rFonts w:ascii="Arial" w:hAnsi="Arial" w:cs="David" w:hint="cs"/>
          <w:sz w:val="24"/>
          <w:szCs w:val="24"/>
          <w:rtl/>
        </w:rPr>
        <w:t>בסיכום שנתי, חל גידול ב</w:t>
      </w:r>
      <w:r w:rsidR="006A160B" w:rsidRPr="00A30D43">
        <w:rPr>
          <w:rFonts w:ascii="Arial" w:hAnsi="Arial" w:cs="David"/>
          <w:sz w:val="24"/>
          <w:szCs w:val="24"/>
          <w:rtl/>
        </w:rPr>
        <w:t>שיעור</w:t>
      </w:r>
      <w:r w:rsidR="006A160B" w:rsidRPr="00A30D43">
        <w:rPr>
          <w:rFonts w:ascii="Arial" w:hAnsi="Arial" w:cs="David" w:hint="cs"/>
          <w:sz w:val="24"/>
          <w:szCs w:val="24"/>
          <w:rtl/>
        </w:rPr>
        <w:t>י</w:t>
      </w:r>
      <w:r w:rsidR="006A160B" w:rsidRPr="00A30D43">
        <w:rPr>
          <w:rFonts w:ascii="Arial" w:hAnsi="Arial" w:cs="David"/>
          <w:sz w:val="24"/>
          <w:szCs w:val="24"/>
          <w:rtl/>
        </w:rPr>
        <w:t xml:space="preserve"> </w:t>
      </w:r>
      <w:r w:rsidRPr="00A30D43">
        <w:rPr>
          <w:rFonts w:ascii="Arial" w:hAnsi="Arial" w:cs="David" w:hint="cs"/>
          <w:sz w:val="24"/>
          <w:szCs w:val="24"/>
          <w:rtl/>
        </w:rPr>
        <w:t>ה</w:t>
      </w:r>
      <w:r w:rsidR="006A160B" w:rsidRPr="00A30D43">
        <w:rPr>
          <w:rFonts w:ascii="Arial" w:hAnsi="Arial" w:cs="David"/>
          <w:sz w:val="24"/>
          <w:szCs w:val="24"/>
          <w:rtl/>
        </w:rPr>
        <w:t xml:space="preserve">שינוי </w:t>
      </w:r>
      <w:r w:rsidR="006A160B" w:rsidRPr="00A30D43">
        <w:rPr>
          <w:rFonts w:ascii="Arial" w:hAnsi="Arial" w:cs="David" w:hint="cs"/>
          <w:sz w:val="24"/>
          <w:szCs w:val="24"/>
          <w:rtl/>
        </w:rPr>
        <w:t>הן של ה</w:t>
      </w:r>
      <w:r w:rsidRPr="00A30D43">
        <w:rPr>
          <w:rFonts w:ascii="Arial" w:hAnsi="Arial" w:cs="David"/>
          <w:sz w:val="24"/>
          <w:szCs w:val="24"/>
          <w:rtl/>
        </w:rPr>
        <w:t xml:space="preserve">חוב </w:t>
      </w:r>
      <w:r w:rsidRPr="00A30D43">
        <w:rPr>
          <w:rFonts w:ascii="Arial" w:hAnsi="Arial" w:cs="David" w:hint="cs"/>
          <w:sz w:val="24"/>
          <w:szCs w:val="24"/>
          <w:rtl/>
        </w:rPr>
        <w:t>ה</w:t>
      </w:r>
      <w:r w:rsidR="006A160B" w:rsidRPr="00A30D43">
        <w:rPr>
          <w:rFonts w:ascii="Arial" w:hAnsi="Arial" w:cs="David"/>
          <w:sz w:val="24"/>
          <w:szCs w:val="24"/>
          <w:rtl/>
        </w:rPr>
        <w:t xml:space="preserve">בנקאי </w:t>
      </w:r>
      <w:r w:rsidR="006A160B" w:rsidRPr="00A30D43">
        <w:rPr>
          <w:rFonts w:ascii="Arial" w:hAnsi="Arial" w:cs="David" w:hint="cs"/>
          <w:sz w:val="24"/>
          <w:szCs w:val="24"/>
          <w:rtl/>
        </w:rPr>
        <w:t>והן של החוב ה</w:t>
      </w:r>
      <w:r w:rsidRPr="00A30D43">
        <w:rPr>
          <w:rFonts w:ascii="Arial" w:hAnsi="Arial" w:cs="David" w:hint="cs"/>
          <w:sz w:val="24"/>
          <w:szCs w:val="24"/>
          <w:rtl/>
        </w:rPr>
        <w:t>חוץ-בנקאי</w:t>
      </w:r>
      <w:r w:rsidR="0013752D" w:rsidRPr="00A30D43">
        <w:rPr>
          <w:rFonts w:ascii="Arial" w:hAnsi="Arial" w:cs="David" w:hint="cs"/>
          <w:sz w:val="24"/>
          <w:szCs w:val="24"/>
          <w:rtl/>
        </w:rPr>
        <w:t xml:space="preserve">: החוב הבנקאי עלה השנה בכ-6.7% לעומת 3.1% בשנת 2017; החוב החוץ-בנקאי עלה בכ-6.8% לעומת </w:t>
      </w:r>
      <w:r w:rsidR="00416818" w:rsidRPr="00A30D43">
        <w:rPr>
          <w:rFonts w:ascii="Arial" w:hAnsi="Arial" w:cs="David" w:hint="cs"/>
          <w:sz w:val="24"/>
          <w:szCs w:val="24"/>
          <w:rtl/>
        </w:rPr>
        <w:t>שיעור אפסי</w:t>
      </w:r>
      <w:r w:rsidR="0013752D" w:rsidRPr="00A30D43">
        <w:rPr>
          <w:rFonts w:ascii="Arial" w:hAnsi="Arial" w:cs="David" w:hint="cs"/>
          <w:sz w:val="24"/>
          <w:szCs w:val="24"/>
          <w:rtl/>
        </w:rPr>
        <w:t xml:space="preserve"> בשנה שעברה.</w:t>
      </w:r>
      <w:r w:rsidR="00416818" w:rsidRPr="00A30D43">
        <w:rPr>
          <w:rFonts w:ascii="Arial" w:hAnsi="Arial" w:cs="David" w:hint="cs"/>
          <w:sz w:val="24"/>
          <w:szCs w:val="24"/>
          <w:rtl/>
        </w:rPr>
        <w:t xml:space="preserve"> (איור 2)</w:t>
      </w:r>
      <w:r w:rsidR="0013752D" w:rsidRPr="00A30D43">
        <w:rPr>
          <w:rFonts w:ascii="Arial" w:hAnsi="Arial" w:cs="David" w:hint="cs"/>
          <w:sz w:val="24"/>
          <w:szCs w:val="24"/>
          <w:rtl/>
        </w:rPr>
        <w:t xml:space="preserve">  </w:t>
      </w:r>
    </w:p>
    <w:p w:rsidR="002A51F1" w:rsidRPr="00A30D43" w:rsidRDefault="004C43DC" w:rsidP="00416818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A30D43">
        <w:rPr>
          <w:rFonts w:ascii="Arial" w:hAnsi="Arial" w:cs="David"/>
          <w:sz w:val="24"/>
          <w:szCs w:val="24"/>
          <w:rtl/>
        </w:rPr>
        <w:t xml:space="preserve">ברביע </w:t>
      </w:r>
      <w:r w:rsidR="00670D97" w:rsidRPr="00A30D43">
        <w:rPr>
          <w:rFonts w:ascii="Arial" w:hAnsi="Arial" w:cs="David" w:hint="cs"/>
          <w:sz w:val="24"/>
          <w:szCs w:val="24"/>
          <w:rtl/>
        </w:rPr>
        <w:t>ה</w:t>
      </w:r>
      <w:r w:rsidR="006042F7" w:rsidRPr="00A30D43">
        <w:rPr>
          <w:rFonts w:ascii="Arial" w:hAnsi="Arial" w:cs="David" w:hint="cs"/>
          <w:sz w:val="24"/>
          <w:szCs w:val="24"/>
          <w:rtl/>
        </w:rPr>
        <w:t>רביעי</w:t>
      </w:r>
      <w:r w:rsidR="00981FA3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E335BB" w:rsidRPr="00A30D43">
        <w:rPr>
          <w:rFonts w:ascii="Arial" w:hAnsi="Arial" w:cs="David"/>
          <w:sz w:val="24"/>
          <w:szCs w:val="24"/>
          <w:rtl/>
        </w:rPr>
        <w:t>של השנה</w:t>
      </w:r>
      <w:r w:rsidR="00E335BB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Pr="00A30D43">
        <w:rPr>
          <w:rFonts w:ascii="Arial" w:hAnsi="Arial" w:cs="David"/>
          <w:b/>
          <w:bCs/>
          <w:sz w:val="24"/>
          <w:szCs w:val="24"/>
          <w:rtl/>
        </w:rPr>
        <w:t>הנפיק המגזר העסקי</w:t>
      </w:r>
      <w:r w:rsidRPr="00A30D43">
        <w:rPr>
          <w:rFonts w:ascii="Arial" w:hAnsi="Arial" w:cs="David"/>
          <w:sz w:val="24"/>
          <w:szCs w:val="24"/>
          <w:rtl/>
        </w:rPr>
        <w:t xml:space="preserve"> (ללא בנקים וביטוח) אג"ח בשווי של כ-</w:t>
      </w:r>
      <w:r w:rsidR="00804AEF" w:rsidRPr="00A30D43">
        <w:rPr>
          <w:rFonts w:ascii="Arial" w:hAnsi="Arial" w:cs="David" w:hint="cs"/>
          <w:sz w:val="24"/>
          <w:szCs w:val="24"/>
          <w:rtl/>
        </w:rPr>
        <w:t xml:space="preserve">9.3 </w:t>
      </w:r>
      <w:r w:rsidR="002A51F1" w:rsidRPr="00A30D43">
        <w:rPr>
          <w:rFonts w:ascii="Arial" w:hAnsi="Arial" w:cs="David"/>
          <w:sz w:val="24"/>
          <w:szCs w:val="24"/>
          <w:rtl/>
        </w:rPr>
        <w:t>מיליארדי ש"ח</w:t>
      </w:r>
      <w:r w:rsidR="00670D97" w:rsidRPr="00A30D43">
        <w:rPr>
          <w:rFonts w:ascii="Arial" w:hAnsi="Arial" w:cs="David" w:hint="cs"/>
          <w:sz w:val="24"/>
          <w:szCs w:val="24"/>
          <w:rtl/>
        </w:rPr>
        <w:t>,</w:t>
      </w:r>
      <w:r w:rsidR="00804AEF" w:rsidRPr="00A30D43">
        <w:rPr>
          <w:rFonts w:ascii="Arial" w:hAnsi="Arial" w:cs="David" w:hint="cs"/>
          <w:sz w:val="24"/>
          <w:szCs w:val="24"/>
          <w:rtl/>
        </w:rPr>
        <w:t xml:space="preserve"> נמוך במקצת ממוצע הגיוסים בארבעת הרביעים </w:t>
      </w:r>
      <w:r w:rsidR="00416818" w:rsidRPr="00A30D43">
        <w:rPr>
          <w:rFonts w:ascii="Arial" w:hAnsi="Arial" w:cs="David" w:hint="cs"/>
          <w:sz w:val="24"/>
          <w:szCs w:val="24"/>
          <w:rtl/>
        </w:rPr>
        <w:t>שקדמו לו</w:t>
      </w:r>
      <w:r w:rsidR="00804AEF" w:rsidRPr="00A30D43">
        <w:rPr>
          <w:rFonts w:ascii="Arial" w:hAnsi="Arial" w:cs="David" w:hint="cs"/>
          <w:sz w:val="24"/>
          <w:szCs w:val="24"/>
          <w:rtl/>
        </w:rPr>
        <w:t xml:space="preserve"> (כ-10 מיליארדים ברביע)</w:t>
      </w:r>
      <w:r w:rsidR="002A51F1" w:rsidRPr="00A30D43">
        <w:rPr>
          <w:rFonts w:ascii="Arial" w:hAnsi="Arial" w:cs="David" w:hint="cs"/>
          <w:sz w:val="24"/>
          <w:szCs w:val="24"/>
          <w:rtl/>
        </w:rPr>
        <w:t xml:space="preserve">. </w:t>
      </w:r>
      <w:r w:rsidR="000F7E97" w:rsidRPr="00A30D43">
        <w:rPr>
          <w:rFonts w:ascii="Arial" w:hAnsi="Arial" w:cs="David" w:hint="cs"/>
          <w:sz w:val="24"/>
          <w:szCs w:val="24"/>
          <w:rtl/>
        </w:rPr>
        <w:t xml:space="preserve">ברביע זה בלטו הגיוסים של חברות מענף </w:t>
      </w:r>
      <w:r w:rsidR="00804AEF" w:rsidRPr="00A30D43">
        <w:rPr>
          <w:rFonts w:ascii="Arial" w:hAnsi="Arial" w:cs="David" w:hint="cs"/>
          <w:sz w:val="24"/>
          <w:szCs w:val="24"/>
          <w:rtl/>
        </w:rPr>
        <w:t>הנדל"ן והבינוי ו</w:t>
      </w:r>
      <w:r w:rsidR="000F7E97" w:rsidRPr="00A30D43">
        <w:rPr>
          <w:rFonts w:ascii="Arial" w:hAnsi="Arial" w:cs="David" w:hint="cs"/>
          <w:sz w:val="24"/>
          <w:szCs w:val="24"/>
          <w:rtl/>
        </w:rPr>
        <w:t xml:space="preserve">חברות מענף </w:t>
      </w:r>
      <w:r w:rsidR="002A51F1" w:rsidRPr="00A30D43">
        <w:rPr>
          <w:rFonts w:ascii="Arial" w:hAnsi="Arial" w:cs="David" w:hint="cs"/>
          <w:sz w:val="24"/>
          <w:szCs w:val="24"/>
          <w:rtl/>
        </w:rPr>
        <w:t>ה</w:t>
      </w:r>
      <w:r w:rsidR="00804AEF" w:rsidRPr="00A30D43">
        <w:rPr>
          <w:rFonts w:ascii="Arial" w:hAnsi="Arial" w:cs="David" w:hint="cs"/>
          <w:sz w:val="24"/>
          <w:szCs w:val="24"/>
          <w:rtl/>
        </w:rPr>
        <w:t>מסחר והשירותים</w:t>
      </w:r>
      <w:r w:rsidR="000F7E97" w:rsidRPr="00A30D43">
        <w:rPr>
          <w:rFonts w:ascii="Arial" w:hAnsi="Arial" w:cs="David" w:hint="cs"/>
          <w:sz w:val="24"/>
          <w:szCs w:val="24"/>
          <w:rtl/>
        </w:rPr>
        <w:t xml:space="preserve"> (כ-3</w:t>
      </w:r>
      <w:r w:rsidR="00804AEF" w:rsidRPr="00A30D43">
        <w:rPr>
          <w:rFonts w:ascii="Arial" w:hAnsi="Arial" w:cs="David" w:hint="cs"/>
          <w:sz w:val="24"/>
          <w:szCs w:val="24"/>
          <w:rtl/>
        </w:rPr>
        <w:t>0</w:t>
      </w:r>
      <w:r w:rsidR="000F7E97" w:rsidRPr="00A30D43">
        <w:rPr>
          <w:rFonts w:ascii="Arial" w:hAnsi="Arial" w:cs="David" w:hint="cs"/>
          <w:sz w:val="24"/>
          <w:szCs w:val="24"/>
          <w:rtl/>
        </w:rPr>
        <w:t>% וכ-</w:t>
      </w:r>
      <w:r w:rsidR="00804AEF" w:rsidRPr="00A30D43">
        <w:rPr>
          <w:rFonts w:ascii="Arial" w:hAnsi="Arial" w:cs="David" w:hint="cs"/>
          <w:sz w:val="24"/>
          <w:szCs w:val="24"/>
          <w:rtl/>
        </w:rPr>
        <w:t>28</w:t>
      </w:r>
      <w:r w:rsidR="000F7E97" w:rsidRPr="00A30D43">
        <w:rPr>
          <w:rFonts w:ascii="Arial" w:hAnsi="Arial" w:cs="David" w:hint="cs"/>
          <w:sz w:val="24"/>
          <w:szCs w:val="24"/>
          <w:rtl/>
        </w:rPr>
        <w:t>% מסך הגיוסים, בהתאמה)</w:t>
      </w:r>
      <w:r w:rsidR="00981FA3" w:rsidRPr="00A30D43">
        <w:rPr>
          <w:rFonts w:ascii="Arial" w:hAnsi="Arial" w:cs="David" w:hint="cs"/>
          <w:sz w:val="24"/>
          <w:szCs w:val="24"/>
          <w:rtl/>
        </w:rPr>
        <w:t xml:space="preserve">. </w:t>
      </w:r>
      <w:r w:rsidR="00695929" w:rsidRPr="00A30D43">
        <w:rPr>
          <w:rFonts w:ascii="Arial" w:hAnsi="Arial" w:cs="David" w:hint="cs"/>
          <w:sz w:val="24"/>
          <w:szCs w:val="24"/>
          <w:rtl/>
        </w:rPr>
        <w:t>בינואר 201</w:t>
      </w:r>
      <w:r w:rsidR="00416818" w:rsidRPr="00A30D43">
        <w:rPr>
          <w:rFonts w:ascii="Arial" w:hAnsi="Arial" w:cs="David" w:hint="cs"/>
          <w:sz w:val="24"/>
          <w:szCs w:val="24"/>
          <w:rtl/>
        </w:rPr>
        <w:t>9</w:t>
      </w:r>
      <w:r w:rsidR="00695929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2A51F1" w:rsidRPr="00A30D43">
        <w:rPr>
          <w:rFonts w:ascii="Arial" w:hAnsi="Arial" w:cs="David" w:hint="cs"/>
          <w:sz w:val="24"/>
          <w:szCs w:val="24"/>
          <w:rtl/>
        </w:rPr>
        <w:t>הנפיק המגזר העסקי אג"ח בשווי של כ-</w:t>
      </w:r>
      <w:r w:rsidR="006E0537" w:rsidRPr="00A30D43">
        <w:rPr>
          <w:rFonts w:ascii="Arial" w:hAnsi="Arial" w:cs="David" w:hint="cs"/>
          <w:sz w:val="24"/>
          <w:szCs w:val="24"/>
          <w:rtl/>
        </w:rPr>
        <w:t>4.7</w:t>
      </w:r>
      <w:r w:rsidR="002A51F1" w:rsidRPr="00A30D43">
        <w:rPr>
          <w:rFonts w:ascii="Arial" w:hAnsi="Arial" w:cs="David" w:hint="cs"/>
          <w:sz w:val="24"/>
          <w:szCs w:val="24"/>
          <w:rtl/>
        </w:rPr>
        <w:t xml:space="preserve"> מיליארדי ש"ח, רובן באג"ח סחירות</w:t>
      </w:r>
      <w:r w:rsidR="00695929" w:rsidRPr="00A30D43">
        <w:rPr>
          <w:rFonts w:ascii="Arial" w:hAnsi="Arial" w:cs="David" w:hint="cs"/>
          <w:sz w:val="24"/>
          <w:szCs w:val="24"/>
          <w:rtl/>
        </w:rPr>
        <w:t>, גבוה ממוצע הגיוסים החודשי בשנת 201</w:t>
      </w:r>
      <w:r w:rsidR="006E0537" w:rsidRPr="00A30D43">
        <w:rPr>
          <w:rFonts w:ascii="Arial" w:hAnsi="Arial" w:cs="David" w:hint="cs"/>
          <w:sz w:val="24"/>
          <w:szCs w:val="24"/>
          <w:rtl/>
        </w:rPr>
        <w:t>8</w:t>
      </w:r>
      <w:r w:rsidR="00695929" w:rsidRPr="00A30D43">
        <w:rPr>
          <w:rFonts w:ascii="Arial" w:hAnsi="Arial" w:cs="David" w:hint="cs"/>
          <w:sz w:val="24"/>
          <w:szCs w:val="24"/>
          <w:rtl/>
        </w:rPr>
        <w:t xml:space="preserve"> (כ-</w:t>
      </w:r>
      <w:r w:rsidR="006E0537" w:rsidRPr="00A30D43">
        <w:rPr>
          <w:rFonts w:ascii="Arial" w:hAnsi="Arial" w:cs="David" w:hint="cs"/>
          <w:sz w:val="24"/>
          <w:szCs w:val="24"/>
          <w:rtl/>
        </w:rPr>
        <w:t>3.3</w:t>
      </w:r>
      <w:r w:rsidR="00695929" w:rsidRPr="00A30D43">
        <w:rPr>
          <w:rFonts w:ascii="Arial" w:hAnsi="Arial" w:cs="David" w:hint="cs"/>
          <w:sz w:val="24"/>
          <w:szCs w:val="24"/>
          <w:rtl/>
        </w:rPr>
        <w:t xml:space="preserve"> מיליארדים)</w:t>
      </w:r>
      <w:r w:rsidR="002A51F1" w:rsidRPr="00A30D43">
        <w:rPr>
          <w:rFonts w:ascii="Arial" w:hAnsi="Arial" w:cs="David" w:hint="cs"/>
          <w:sz w:val="24"/>
          <w:szCs w:val="24"/>
          <w:rtl/>
        </w:rPr>
        <w:t>.</w:t>
      </w:r>
      <w:r w:rsidR="00070391" w:rsidRPr="00A30D43">
        <w:rPr>
          <w:rFonts w:ascii="Arial" w:hAnsi="Arial" w:cs="David" w:hint="cs"/>
          <w:sz w:val="24"/>
          <w:szCs w:val="24"/>
          <w:rtl/>
        </w:rPr>
        <w:t xml:space="preserve"> (איור 3)</w:t>
      </w:r>
    </w:p>
    <w:p w:rsidR="00E44E3D" w:rsidRPr="00A30D43" w:rsidRDefault="00B17282" w:rsidP="00416818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A30D43">
        <w:rPr>
          <w:rFonts w:ascii="Arial" w:hAnsi="Arial" w:cs="David" w:hint="cs"/>
          <w:sz w:val="24"/>
          <w:szCs w:val="24"/>
          <w:rtl/>
        </w:rPr>
        <w:t>ברביע ה</w:t>
      </w:r>
      <w:r w:rsidR="00260F11" w:rsidRPr="00A30D43">
        <w:rPr>
          <w:rFonts w:ascii="Arial" w:hAnsi="Arial" w:cs="David" w:hint="cs"/>
          <w:sz w:val="24"/>
          <w:szCs w:val="24"/>
          <w:rtl/>
        </w:rPr>
        <w:t>רביעי</w:t>
      </w:r>
      <w:r w:rsidRPr="00A30D43">
        <w:rPr>
          <w:rFonts w:ascii="Arial" w:hAnsi="Arial" w:cs="David" w:hint="cs"/>
          <w:sz w:val="24"/>
          <w:szCs w:val="24"/>
          <w:rtl/>
        </w:rPr>
        <w:t xml:space="preserve"> של השנה </w:t>
      </w:r>
      <w:r w:rsidR="00985B74" w:rsidRPr="00A30D43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416818" w:rsidRPr="00A30D43">
        <w:rPr>
          <w:rFonts w:ascii="Arial" w:hAnsi="Arial" w:cs="David" w:hint="cs"/>
          <w:b/>
          <w:bCs/>
          <w:sz w:val="24"/>
          <w:szCs w:val="24"/>
          <w:rtl/>
        </w:rPr>
        <w:t>מרווח בין תשואת מדד אג"ח החברות</w:t>
      </w:r>
      <w:r w:rsidR="00985B74" w:rsidRPr="00A30D43">
        <w:rPr>
          <w:rFonts w:ascii="Arial" w:hAnsi="Arial" w:cs="David" w:hint="cs"/>
          <w:b/>
          <w:bCs/>
          <w:sz w:val="24"/>
          <w:szCs w:val="24"/>
          <w:rtl/>
        </w:rPr>
        <w:t xml:space="preserve">, תל בונד 60, לבין תשואת האג"ח הממשלתיות </w:t>
      </w:r>
      <w:r w:rsidR="00DA4279" w:rsidRPr="00A30D43">
        <w:rPr>
          <w:rFonts w:ascii="Arial" w:hAnsi="Arial" w:cs="David" w:hint="cs"/>
          <w:b/>
          <w:bCs/>
          <w:sz w:val="24"/>
          <w:szCs w:val="24"/>
          <w:rtl/>
        </w:rPr>
        <w:t>הצמודות</w:t>
      </w:r>
      <w:r w:rsidR="00DA4279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166C6B" w:rsidRPr="00A30D43">
        <w:rPr>
          <w:rFonts w:ascii="Arial" w:hAnsi="Arial" w:cs="David" w:hint="cs"/>
          <w:sz w:val="24"/>
          <w:szCs w:val="24"/>
          <w:rtl/>
        </w:rPr>
        <w:t>ה</w:t>
      </w:r>
      <w:r w:rsidR="00260F11" w:rsidRPr="00A30D43">
        <w:rPr>
          <w:rFonts w:ascii="Arial" w:hAnsi="Arial" w:cs="David" w:hint="cs"/>
          <w:sz w:val="24"/>
          <w:szCs w:val="24"/>
          <w:rtl/>
        </w:rPr>
        <w:t>תרחב</w:t>
      </w:r>
      <w:r w:rsidR="009B7097" w:rsidRPr="00A30D43">
        <w:rPr>
          <w:rFonts w:ascii="Arial" w:hAnsi="Arial" w:cs="David" w:hint="cs"/>
          <w:sz w:val="24"/>
          <w:szCs w:val="24"/>
          <w:rtl/>
        </w:rPr>
        <w:t xml:space="preserve"> בכ-</w:t>
      </w:r>
      <w:r w:rsidRPr="00A30D43">
        <w:rPr>
          <w:rFonts w:ascii="Arial" w:hAnsi="Arial" w:cs="David" w:hint="cs"/>
          <w:sz w:val="24"/>
          <w:szCs w:val="24"/>
          <w:rtl/>
        </w:rPr>
        <w:t>0.</w:t>
      </w:r>
      <w:r w:rsidR="00561E57" w:rsidRPr="00A30D43">
        <w:rPr>
          <w:rFonts w:ascii="Arial" w:hAnsi="Arial" w:cs="David" w:hint="cs"/>
          <w:sz w:val="24"/>
          <w:szCs w:val="24"/>
          <w:rtl/>
        </w:rPr>
        <w:t>4</w:t>
      </w:r>
      <w:r w:rsidR="009B7097" w:rsidRPr="00A30D43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DA4279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416818" w:rsidRPr="00A30D43">
        <w:rPr>
          <w:rFonts w:ascii="Arial" w:hAnsi="Arial" w:cs="David" w:hint="cs"/>
          <w:sz w:val="24"/>
          <w:szCs w:val="24"/>
          <w:rtl/>
        </w:rPr>
        <w:t>ל</w:t>
      </w:r>
      <w:r w:rsidR="002C2286" w:rsidRPr="00A30D43">
        <w:rPr>
          <w:rFonts w:ascii="Arial" w:hAnsi="Arial" w:cs="David" w:hint="cs"/>
          <w:sz w:val="24"/>
          <w:szCs w:val="24"/>
          <w:rtl/>
        </w:rPr>
        <w:t>כ-</w:t>
      </w:r>
      <w:r w:rsidR="00260F11" w:rsidRPr="00A30D43">
        <w:rPr>
          <w:rFonts w:ascii="Arial" w:hAnsi="Arial" w:cs="David" w:hint="cs"/>
          <w:sz w:val="24"/>
          <w:szCs w:val="24"/>
          <w:rtl/>
        </w:rPr>
        <w:t>1.</w:t>
      </w:r>
      <w:r w:rsidR="00561E57" w:rsidRPr="00A30D43">
        <w:rPr>
          <w:rFonts w:ascii="Arial" w:hAnsi="Arial" w:cs="David" w:hint="cs"/>
          <w:sz w:val="24"/>
          <w:szCs w:val="24"/>
          <w:rtl/>
        </w:rPr>
        <w:t>53</w:t>
      </w:r>
      <w:r w:rsidRPr="00A30D43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2C2286" w:rsidRPr="00A30D43">
        <w:rPr>
          <w:rFonts w:ascii="Arial" w:hAnsi="Arial" w:cs="David" w:hint="cs"/>
          <w:sz w:val="24"/>
          <w:szCs w:val="24"/>
          <w:rtl/>
        </w:rPr>
        <w:t xml:space="preserve">, </w:t>
      </w:r>
      <w:r w:rsidRPr="00A30D43">
        <w:rPr>
          <w:rFonts w:ascii="Arial" w:hAnsi="Arial" w:cs="David" w:hint="cs"/>
          <w:sz w:val="24"/>
          <w:szCs w:val="24"/>
          <w:rtl/>
        </w:rPr>
        <w:lastRenderedPageBreak/>
        <w:t xml:space="preserve">זאת לאחר </w:t>
      </w:r>
      <w:r w:rsidR="002C2286" w:rsidRPr="00A30D43">
        <w:rPr>
          <w:rFonts w:ascii="Arial" w:hAnsi="Arial" w:cs="David" w:hint="cs"/>
          <w:sz w:val="24"/>
          <w:szCs w:val="24"/>
          <w:rtl/>
        </w:rPr>
        <w:t>ה</w:t>
      </w:r>
      <w:r w:rsidR="00260F11" w:rsidRPr="00A30D43">
        <w:rPr>
          <w:rFonts w:ascii="Arial" w:hAnsi="Arial" w:cs="David" w:hint="cs"/>
          <w:sz w:val="24"/>
          <w:szCs w:val="24"/>
          <w:rtl/>
        </w:rPr>
        <w:t>צטמצמות</w:t>
      </w:r>
      <w:r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561E57" w:rsidRPr="00A30D43">
        <w:rPr>
          <w:rFonts w:ascii="Arial" w:hAnsi="Arial" w:cs="David" w:hint="cs"/>
          <w:sz w:val="24"/>
          <w:szCs w:val="24"/>
          <w:rtl/>
        </w:rPr>
        <w:t xml:space="preserve">של כ-0.2 נק' האחוז </w:t>
      </w:r>
      <w:r w:rsidRPr="00A30D43">
        <w:rPr>
          <w:rFonts w:ascii="Arial" w:hAnsi="Arial" w:cs="David" w:hint="cs"/>
          <w:sz w:val="24"/>
          <w:szCs w:val="24"/>
          <w:rtl/>
        </w:rPr>
        <w:t>ברביע ה</w:t>
      </w:r>
      <w:r w:rsidR="004169F7" w:rsidRPr="00A30D43">
        <w:rPr>
          <w:rFonts w:ascii="Arial" w:hAnsi="Arial" w:cs="David" w:hint="cs"/>
          <w:sz w:val="24"/>
          <w:szCs w:val="24"/>
          <w:rtl/>
        </w:rPr>
        <w:t xml:space="preserve">קודם. </w:t>
      </w:r>
      <w:r w:rsidR="008E7A02" w:rsidRPr="00A30D43">
        <w:rPr>
          <w:rFonts w:ascii="Arial" w:hAnsi="Arial" w:cs="David" w:hint="cs"/>
          <w:sz w:val="24"/>
          <w:szCs w:val="24"/>
          <w:rtl/>
        </w:rPr>
        <w:t>ב</w:t>
      </w:r>
      <w:r w:rsidR="00260F11" w:rsidRPr="00A30D43">
        <w:rPr>
          <w:rFonts w:ascii="Arial" w:hAnsi="Arial" w:cs="David" w:hint="cs"/>
          <w:sz w:val="24"/>
          <w:szCs w:val="24"/>
          <w:rtl/>
        </w:rPr>
        <w:t>ינואר</w:t>
      </w:r>
      <w:r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8E7A02" w:rsidRPr="00A30D43">
        <w:rPr>
          <w:rFonts w:ascii="Arial" w:hAnsi="Arial" w:cs="David" w:hint="cs"/>
          <w:sz w:val="24"/>
          <w:szCs w:val="24"/>
          <w:rtl/>
        </w:rPr>
        <w:t>201</w:t>
      </w:r>
      <w:r w:rsidR="00561E57" w:rsidRPr="00A30D43">
        <w:rPr>
          <w:rFonts w:ascii="Arial" w:hAnsi="Arial" w:cs="David" w:hint="cs"/>
          <w:sz w:val="24"/>
          <w:szCs w:val="24"/>
          <w:rtl/>
        </w:rPr>
        <w:t>9</w:t>
      </w:r>
      <w:r w:rsidR="008E7A02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215E7F" w:rsidRPr="00A30D43">
        <w:rPr>
          <w:rFonts w:ascii="Arial" w:hAnsi="Arial" w:cs="David" w:hint="cs"/>
          <w:sz w:val="24"/>
          <w:szCs w:val="24"/>
          <w:rtl/>
        </w:rPr>
        <w:t>חלה הצטמצמו</w:t>
      </w:r>
      <w:r w:rsidR="00215E7F" w:rsidRPr="00A30D43">
        <w:rPr>
          <w:rFonts w:ascii="Arial" w:hAnsi="Arial" w:cs="David" w:hint="eastAsia"/>
          <w:sz w:val="24"/>
          <w:szCs w:val="24"/>
          <w:rtl/>
        </w:rPr>
        <w:t>ת</w:t>
      </w:r>
      <w:r w:rsidR="00215E7F" w:rsidRPr="00A30D43">
        <w:rPr>
          <w:rFonts w:ascii="Arial" w:hAnsi="Arial" w:cs="David" w:hint="cs"/>
          <w:sz w:val="24"/>
          <w:szCs w:val="24"/>
          <w:rtl/>
        </w:rPr>
        <w:t xml:space="preserve"> קלה ב</w:t>
      </w:r>
      <w:r w:rsidR="00351EF0" w:rsidRPr="00A30D43">
        <w:rPr>
          <w:rFonts w:ascii="Arial" w:hAnsi="Arial" w:cs="David" w:hint="cs"/>
          <w:sz w:val="24"/>
          <w:szCs w:val="24"/>
          <w:rtl/>
        </w:rPr>
        <w:t xml:space="preserve">מרווח </w:t>
      </w:r>
      <w:r w:rsidR="00416818" w:rsidRPr="00A30D43">
        <w:rPr>
          <w:rFonts w:ascii="Arial" w:hAnsi="Arial" w:cs="David" w:hint="cs"/>
          <w:sz w:val="24"/>
          <w:szCs w:val="24"/>
          <w:rtl/>
        </w:rPr>
        <w:t>עד ל</w:t>
      </w:r>
      <w:r w:rsidR="002C2286" w:rsidRPr="00A30D43">
        <w:rPr>
          <w:rFonts w:ascii="Arial" w:hAnsi="Arial" w:cs="David" w:hint="cs"/>
          <w:sz w:val="24"/>
          <w:szCs w:val="24"/>
          <w:rtl/>
        </w:rPr>
        <w:t>כ-</w:t>
      </w:r>
      <w:r w:rsidR="00561E57" w:rsidRPr="00A30D43">
        <w:rPr>
          <w:rFonts w:ascii="Arial" w:hAnsi="Arial" w:cs="David" w:hint="cs"/>
          <w:sz w:val="24"/>
          <w:szCs w:val="24"/>
          <w:rtl/>
        </w:rPr>
        <w:t>1.5</w:t>
      </w:r>
      <w:r w:rsidR="002C2286" w:rsidRPr="00A30D43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8E7A02" w:rsidRPr="00A30D43">
        <w:rPr>
          <w:rFonts w:ascii="Arial" w:hAnsi="Arial" w:cs="David" w:hint="cs"/>
          <w:sz w:val="24"/>
          <w:szCs w:val="24"/>
          <w:rtl/>
        </w:rPr>
        <w:t>.</w:t>
      </w:r>
      <w:r w:rsidR="00070391" w:rsidRPr="00A30D43">
        <w:rPr>
          <w:rFonts w:ascii="Arial" w:hAnsi="Arial" w:cs="David" w:hint="cs"/>
          <w:sz w:val="24"/>
          <w:szCs w:val="24"/>
          <w:rtl/>
        </w:rPr>
        <w:t xml:space="preserve"> (איור 4)</w:t>
      </w:r>
    </w:p>
    <w:p w:rsidR="00C22C1E" w:rsidRPr="00A30D43" w:rsidRDefault="00C22C1E" w:rsidP="00C22C1E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C3E61" w:rsidRPr="00A30D43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A30D43">
        <w:rPr>
          <w:rFonts w:asciiTheme="minorBidi" w:hAnsiTheme="minorBidi" w:cs="David"/>
          <w:b/>
          <w:bCs/>
          <w:rtl/>
        </w:rPr>
        <w:t>לוח 1: התפלגות החוב של המגזר העסקי</w:t>
      </w:r>
      <w:r w:rsidR="0012175B" w:rsidRPr="00A30D43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A30D43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A30D43" w:rsidRDefault="00D602E8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A30D43">
        <w:rPr>
          <w:rFonts w:cs="David"/>
          <w:noProof/>
          <w:rtl/>
        </w:rPr>
        <w:drawing>
          <wp:inline distT="0" distB="0" distL="0" distR="0" wp14:anchorId="44BF7DE0" wp14:editId="014CC169">
            <wp:extent cx="5278120" cy="2308339"/>
            <wp:effectExtent l="0" t="0" r="0" b="0"/>
            <wp:docPr id="1" name="תמונה 1" descr="התפלגות החוב של המגזר העסקי1 " title="התפלגות החוב של המגזר העסק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A30D43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A30D43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A30D43">
        <w:rPr>
          <w:rFonts w:asciiTheme="minorBidi" w:hAnsiTheme="minorBidi" w:cs="David"/>
          <w:b/>
          <w:bCs/>
          <w:rtl/>
        </w:rPr>
        <w:t xml:space="preserve">איור 1: </w:t>
      </w:r>
      <w:r w:rsidR="00AD3F98" w:rsidRPr="00A30D43">
        <w:rPr>
          <w:rFonts w:asciiTheme="minorBidi" w:hAnsiTheme="minorBidi" w:cs="David" w:hint="cs"/>
          <w:b/>
          <w:bCs/>
          <w:rtl/>
        </w:rPr>
        <w:t>אומדן השינוי הכמותי הרבעוני נטו בחוב של</w:t>
      </w:r>
      <w:r w:rsidRPr="00A30D43">
        <w:rPr>
          <w:rFonts w:asciiTheme="minorBidi" w:hAnsiTheme="minorBidi" w:cs="David"/>
          <w:b/>
          <w:bCs/>
          <w:rtl/>
        </w:rPr>
        <w:t xml:space="preserve"> </w:t>
      </w:r>
      <w:r w:rsidR="0004490E" w:rsidRPr="00A30D43">
        <w:rPr>
          <w:rFonts w:asciiTheme="minorBidi" w:hAnsiTheme="minorBidi" w:cs="David" w:hint="cs"/>
          <w:b/>
          <w:bCs/>
          <w:rtl/>
        </w:rPr>
        <w:t>המגזר</w:t>
      </w:r>
      <w:r w:rsidR="00AD3F98" w:rsidRPr="00A30D43">
        <w:rPr>
          <w:rFonts w:asciiTheme="minorBidi" w:hAnsiTheme="minorBidi" w:cs="David"/>
          <w:b/>
          <w:bCs/>
          <w:rtl/>
        </w:rPr>
        <w:t xml:space="preserve"> העסקי </w:t>
      </w:r>
    </w:p>
    <w:p w:rsidR="002A60C4" w:rsidRPr="00A30D43" w:rsidRDefault="00D602E8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8A4941C" wp14:editId="5CD2F480">
            <wp:extent cx="5297805" cy="2944495"/>
            <wp:effectExtent l="0" t="0" r="0" b="8255"/>
            <wp:docPr id="3" name="תמונה 3" descr="אומדן השינוי הכמותי הרבעוני נטו בחוב של המגזר העסקי " title="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A30D43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D602E8" w:rsidRPr="00A30D43" w:rsidRDefault="00D602E8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A30D43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75551" w:rsidRPr="00A30D43" w:rsidRDefault="00675551" w:rsidP="00675551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2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>: שיעורי השינוי לעומת הרביע המקביל בשנה הקודמת בחוב הבנקאי והחוץ-בנקאי של ה</w:t>
      </w:r>
      <w:r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מגזר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</w:t>
      </w:r>
    </w:p>
    <w:p w:rsidR="00675551" w:rsidRPr="00A30D43" w:rsidRDefault="00675551" w:rsidP="00675551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3FAC152" wp14:editId="65D73310">
            <wp:extent cx="5261610" cy="2639695"/>
            <wp:effectExtent l="0" t="0" r="0" b="8255"/>
            <wp:docPr id="10" name="תמונה 10" descr="שיעורי השינוי לעומת הרביע המקביל בשנה הקודמת בחוב הבנקאי והחוץ-בנקאי של המגזר העסקי" title="שיעורי השינוי לעומת הרביע המקביל בשנה הקודמת בחוב הבנקאי והחוץ-בנקאי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A30D43" w:rsidRDefault="00AC3E61" w:rsidP="00675551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070391" w:rsidRPr="00A30D43">
        <w:rPr>
          <w:rFonts w:asciiTheme="minorBidi" w:hAnsiTheme="minorBidi" w:cs="David"/>
          <w:b/>
          <w:bCs/>
          <w:sz w:val="24"/>
          <w:szCs w:val="24"/>
        </w:rPr>
        <w:t>3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D602E8"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הנפקות אג"ח של </w:t>
      </w:r>
      <w:r w:rsidR="00D602E8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המגזר</w:t>
      </w:r>
      <w:r w:rsidR="00D602E8"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 הלא</w:t>
      </w:r>
      <w:r w:rsidR="00D602E8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-</w:t>
      </w:r>
      <w:r w:rsidR="00D602E8" w:rsidRPr="00A30D43">
        <w:rPr>
          <w:rFonts w:asciiTheme="minorBidi" w:hAnsiTheme="minorBidi" w:cs="David"/>
          <w:b/>
          <w:bCs/>
          <w:sz w:val="24"/>
          <w:szCs w:val="24"/>
          <w:rtl/>
        </w:rPr>
        <w:t>פיננסי</w:t>
      </w:r>
      <w:r w:rsidR="00D602E8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במהלך הרביע, לפי ענפים</w:t>
      </w:r>
      <w:r w:rsidR="00416818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</w:t>
      </w:r>
    </w:p>
    <w:p w:rsidR="00F83505" w:rsidRPr="00A30D43" w:rsidRDefault="00675551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bookmarkStart w:id="0" w:name="_GoBack"/>
      <w:r w:rsidRPr="00A30D43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BCEE992" wp14:editId="1BE34A14">
            <wp:extent cx="5383530" cy="3169920"/>
            <wp:effectExtent l="0" t="0" r="7620" b="0"/>
            <wp:docPr id="4" name="תמונה 4" descr="הנפקות אג&quot;ח של המגזר העסקי הלא-פיננסי במהלך הרביע, לפי ענפים " title="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911D7" w:rsidRPr="00A30D43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402A67" w:rsidRPr="00A30D43" w:rsidRDefault="00402A67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522BB0" w:rsidRPr="00A30D43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A30D43">
        <w:rPr>
          <w:rFonts w:asciiTheme="minorBidi" w:hAnsiTheme="minorBidi" w:cs="David"/>
          <w:b/>
          <w:bCs/>
          <w:sz w:val="24"/>
          <w:szCs w:val="24"/>
        </w:rPr>
        <w:t>4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>: המרווח בין אג"ח חברות צמוד</w:t>
      </w:r>
      <w:r w:rsidR="00416818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ות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ות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 צמוד</w:t>
      </w:r>
      <w:r w:rsidR="00416818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ות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A30D43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A30D43" w:rsidRDefault="00D602E8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99D920A" wp14:editId="2CF8935A">
            <wp:extent cx="5292090" cy="2755900"/>
            <wp:effectExtent l="0" t="0" r="3810" b="6350"/>
            <wp:docPr id="7" name="תמונה 7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A30D43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A30D43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A30D43">
        <w:rPr>
          <w:rStyle w:val="10"/>
          <w:rFonts w:cs="David"/>
          <w:rtl/>
        </w:rPr>
        <w:t>החוב של משקי הבית</w:t>
      </w:r>
    </w:p>
    <w:p w:rsidR="007D0D18" w:rsidRPr="00A30D43" w:rsidRDefault="002319C1" w:rsidP="00070391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A30D43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A30D43">
        <w:rPr>
          <w:rFonts w:ascii="Arial" w:hAnsi="Arial" w:cs="David" w:hint="cs"/>
          <w:sz w:val="24"/>
          <w:szCs w:val="24"/>
          <w:rtl/>
        </w:rPr>
        <w:t>גדלה</w:t>
      </w:r>
      <w:r w:rsidR="0004490E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A30D43">
        <w:rPr>
          <w:rFonts w:ascii="Arial" w:hAnsi="Arial" w:cs="David" w:hint="cs"/>
          <w:sz w:val="24"/>
          <w:szCs w:val="24"/>
          <w:rtl/>
        </w:rPr>
        <w:t>ב</w:t>
      </w:r>
      <w:r w:rsidR="00DA070E" w:rsidRPr="00A30D43">
        <w:rPr>
          <w:rFonts w:ascii="Arial" w:hAnsi="Arial" w:cs="David" w:hint="cs"/>
          <w:sz w:val="24"/>
          <w:szCs w:val="24"/>
          <w:rtl/>
        </w:rPr>
        <w:t xml:space="preserve">רביע </w:t>
      </w:r>
      <w:r w:rsidR="00CF24FB" w:rsidRPr="00A30D43">
        <w:rPr>
          <w:rFonts w:ascii="Arial" w:hAnsi="Arial" w:cs="David" w:hint="cs"/>
          <w:sz w:val="24"/>
          <w:szCs w:val="24"/>
          <w:rtl/>
        </w:rPr>
        <w:t>ה</w:t>
      </w:r>
      <w:r w:rsidR="00725739" w:rsidRPr="00A30D43">
        <w:rPr>
          <w:rFonts w:ascii="Arial" w:hAnsi="Arial" w:cs="David" w:hint="cs"/>
          <w:sz w:val="24"/>
          <w:szCs w:val="24"/>
          <w:rtl/>
        </w:rPr>
        <w:t>רביעי</w:t>
      </w:r>
      <w:r w:rsidR="00DA070E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A30D43">
        <w:rPr>
          <w:rFonts w:ascii="Arial" w:hAnsi="Arial" w:cs="David" w:hint="cs"/>
          <w:sz w:val="24"/>
          <w:szCs w:val="24"/>
          <w:rtl/>
        </w:rPr>
        <w:t xml:space="preserve">של שנת </w:t>
      </w:r>
      <w:r w:rsidR="00F426C3" w:rsidRPr="00A30D43">
        <w:rPr>
          <w:rFonts w:ascii="Arial" w:hAnsi="Arial" w:cs="David" w:hint="cs"/>
          <w:sz w:val="24"/>
          <w:szCs w:val="24"/>
          <w:rtl/>
        </w:rPr>
        <w:t>201</w:t>
      </w:r>
      <w:r w:rsidR="00DA2C0B" w:rsidRPr="00A30D43">
        <w:rPr>
          <w:rFonts w:ascii="Arial" w:hAnsi="Arial" w:cs="David" w:hint="cs"/>
          <w:sz w:val="24"/>
          <w:szCs w:val="24"/>
          <w:rtl/>
        </w:rPr>
        <w:t>8</w:t>
      </w:r>
      <w:r w:rsidR="0004490E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A30D43">
        <w:rPr>
          <w:rFonts w:ascii="Arial" w:hAnsi="Arial" w:cs="David" w:hint="cs"/>
          <w:sz w:val="24"/>
          <w:szCs w:val="24"/>
          <w:rtl/>
        </w:rPr>
        <w:t>בכ-</w:t>
      </w:r>
      <w:r w:rsidR="00DA2C0B" w:rsidRPr="00A30D43">
        <w:rPr>
          <w:rFonts w:ascii="Arial" w:hAnsi="Arial" w:cs="David" w:hint="cs"/>
          <w:sz w:val="24"/>
          <w:szCs w:val="24"/>
          <w:rtl/>
        </w:rPr>
        <w:t>8</w:t>
      </w:r>
      <w:r w:rsidR="006819E9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A30D43">
        <w:rPr>
          <w:rFonts w:ascii="Arial" w:hAnsi="Arial" w:cs="David" w:hint="cs"/>
          <w:sz w:val="24"/>
          <w:szCs w:val="24"/>
          <w:rtl/>
        </w:rPr>
        <w:t>מיליארדי ש"ח (</w:t>
      </w:r>
      <w:r w:rsidR="00725739" w:rsidRPr="00A30D43">
        <w:rPr>
          <w:rFonts w:ascii="Arial" w:hAnsi="Arial" w:cs="David" w:hint="cs"/>
          <w:sz w:val="24"/>
          <w:szCs w:val="24"/>
          <w:rtl/>
        </w:rPr>
        <w:t>1.</w:t>
      </w:r>
      <w:r w:rsidR="00DA2C0B" w:rsidRPr="00A30D43">
        <w:rPr>
          <w:rFonts w:ascii="Arial" w:hAnsi="Arial" w:cs="David" w:hint="cs"/>
          <w:sz w:val="24"/>
          <w:szCs w:val="24"/>
          <w:rtl/>
        </w:rPr>
        <w:t>4</w:t>
      </w:r>
      <w:r w:rsidR="007A39D0" w:rsidRPr="00A30D43">
        <w:rPr>
          <w:rFonts w:ascii="Arial" w:hAnsi="Arial" w:cs="David" w:hint="cs"/>
          <w:sz w:val="24"/>
          <w:szCs w:val="24"/>
          <w:rtl/>
        </w:rPr>
        <w:t xml:space="preserve">%) </w:t>
      </w:r>
      <w:r w:rsidR="0054512E" w:rsidRPr="00A30D43">
        <w:rPr>
          <w:rFonts w:ascii="Arial" w:hAnsi="Arial" w:cs="David" w:hint="cs"/>
          <w:sz w:val="24"/>
          <w:szCs w:val="24"/>
          <w:rtl/>
        </w:rPr>
        <w:t xml:space="preserve">לרמה של </w:t>
      </w:r>
      <w:r w:rsidR="0004490E" w:rsidRPr="00A30D43">
        <w:rPr>
          <w:rFonts w:ascii="Arial" w:hAnsi="Arial" w:cs="David" w:hint="cs"/>
          <w:sz w:val="24"/>
          <w:szCs w:val="24"/>
          <w:rtl/>
        </w:rPr>
        <w:t>כ-</w:t>
      </w:r>
      <w:r w:rsidR="00725739" w:rsidRPr="00A30D43">
        <w:rPr>
          <w:rFonts w:ascii="Arial" w:hAnsi="Arial" w:cs="David" w:hint="cs"/>
          <w:sz w:val="24"/>
          <w:szCs w:val="24"/>
          <w:rtl/>
        </w:rPr>
        <w:t>5</w:t>
      </w:r>
      <w:r w:rsidR="00DA2C0B" w:rsidRPr="00A30D43">
        <w:rPr>
          <w:rFonts w:ascii="Arial" w:hAnsi="Arial" w:cs="David" w:hint="cs"/>
          <w:sz w:val="24"/>
          <w:szCs w:val="24"/>
          <w:rtl/>
        </w:rPr>
        <w:t>57</w:t>
      </w:r>
      <w:r w:rsidR="0004490E" w:rsidRPr="00A30D43">
        <w:rPr>
          <w:rFonts w:ascii="Arial" w:hAnsi="Arial" w:cs="David" w:hint="cs"/>
          <w:sz w:val="24"/>
          <w:szCs w:val="24"/>
          <w:rtl/>
        </w:rPr>
        <w:t xml:space="preserve"> מיליארדי ש"ח</w:t>
      </w:r>
      <w:r w:rsidR="007D0D18" w:rsidRPr="00A30D43">
        <w:rPr>
          <w:rFonts w:ascii="Arial" w:hAnsi="Arial" w:cs="David" w:hint="cs"/>
          <w:sz w:val="24"/>
          <w:szCs w:val="24"/>
          <w:rtl/>
        </w:rPr>
        <w:t xml:space="preserve">: יתרת </w:t>
      </w:r>
      <w:r w:rsidR="007D0D18" w:rsidRPr="00A30D43">
        <w:rPr>
          <w:rFonts w:ascii="Arial" w:hAnsi="Arial" w:cs="David" w:hint="cs"/>
          <w:b/>
          <w:bCs/>
          <w:sz w:val="24"/>
          <w:szCs w:val="24"/>
          <w:rtl/>
        </w:rPr>
        <w:t>החוב לדיור</w:t>
      </w:r>
      <w:r w:rsidR="007D0D18" w:rsidRPr="00A30D43">
        <w:rPr>
          <w:rFonts w:ascii="Arial" w:hAnsi="Arial" w:cs="David" w:hint="cs"/>
          <w:sz w:val="24"/>
          <w:szCs w:val="24"/>
          <w:rtl/>
        </w:rPr>
        <w:t xml:space="preserve"> עלתה בכ-6 מיליארדים לרמה של כ-360 מיליארדים (כ-1.8%); יתרת </w:t>
      </w:r>
      <w:r w:rsidR="007D0D18" w:rsidRPr="00A30D43">
        <w:rPr>
          <w:rFonts w:ascii="Arial" w:hAnsi="Arial" w:cs="David" w:hint="cs"/>
          <w:b/>
          <w:bCs/>
          <w:sz w:val="24"/>
          <w:szCs w:val="24"/>
          <w:rtl/>
        </w:rPr>
        <w:t>החוב שלא לדיור</w:t>
      </w:r>
      <w:r w:rsidR="007D0D18" w:rsidRPr="00A30D43">
        <w:rPr>
          <w:rFonts w:ascii="Arial" w:hAnsi="Arial" w:cs="David" w:hint="cs"/>
          <w:sz w:val="24"/>
          <w:szCs w:val="24"/>
          <w:rtl/>
        </w:rPr>
        <w:t xml:space="preserve"> עלתה בכמיליארד ש"ח עד לרמה של כ-197 מיליארדים</w:t>
      </w:r>
      <w:r w:rsidR="00CB07FA" w:rsidRPr="00A30D43">
        <w:rPr>
          <w:rFonts w:ascii="Arial" w:hAnsi="Arial" w:cs="David" w:hint="cs"/>
          <w:sz w:val="24"/>
          <w:szCs w:val="24"/>
          <w:rtl/>
        </w:rPr>
        <w:t xml:space="preserve">. </w:t>
      </w:r>
      <w:r w:rsidR="007D0D18" w:rsidRPr="00A30D43">
        <w:rPr>
          <w:rFonts w:ascii="Arial" w:hAnsi="Arial" w:cs="David" w:hint="cs"/>
          <w:sz w:val="24"/>
          <w:szCs w:val="24"/>
          <w:rtl/>
        </w:rPr>
        <w:t xml:space="preserve">עם זאת, נמשכת הירידה בקצב הגידול השנתי של יתרת החוב שלא לדיור, שהחלה בסוף שנת 2016 (איור </w:t>
      </w:r>
      <w:r w:rsidR="00070391" w:rsidRPr="00A30D43">
        <w:rPr>
          <w:rFonts w:ascii="Arial" w:hAnsi="Arial" w:cs="David"/>
          <w:sz w:val="24"/>
          <w:szCs w:val="24"/>
        </w:rPr>
        <w:t>5</w:t>
      </w:r>
      <w:r w:rsidR="007D0D18" w:rsidRPr="00A30D43">
        <w:rPr>
          <w:rFonts w:ascii="Arial" w:hAnsi="Arial" w:cs="David" w:hint="cs"/>
          <w:sz w:val="24"/>
          <w:szCs w:val="24"/>
          <w:rtl/>
        </w:rPr>
        <w:t>).</w:t>
      </w:r>
    </w:p>
    <w:p w:rsidR="006B0BAE" w:rsidRPr="00A30D43" w:rsidRDefault="00AB31EF" w:rsidP="00070391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A30D43">
        <w:rPr>
          <w:rFonts w:ascii="Arial" w:hAnsi="Arial" w:cs="David"/>
          <w:sz w:val="24"/>
          <w:szCs w:val="24"/>
          <w:rtl/>
        </w:rPr>
        <w:t xml:space="preserve">ברביע </w:t>
      </w:r>
      <w:r w:rsidR="00CF24FB" w:rsidRPr="00A30D43">
        <w:rPr>
          <w:rFonts w:ascii="Arial" w:hAnsi="Arial" w:cs="David" w:hint="cs"/>
          <w:sz w:val="24"/>
          <w:szCs w:val="24"/>
          <w:rtl/>
        </w:rPr>
        <w:t>ה</w:t>
      </w:r>
      <w:r w:rsidR="00045838" w:rsidRPr="00A30D43">
        <w:rPr>
          <w:rFonts w:ascii="Arial" w:hAnsi="Arial" w:cs="David" w:hint="cs"/>
          <w:sz w:val="24"/>
          <w:szCs w:val="24"/>
          <w:rtl/>
        </w:rPr>
        <w:t>רביעי</w:t>
      </w:r>
      <w:r w:rsidRPr="00A30D43">
        <w:rPr>
          <w:rFonts w:ascii="Arial" w:hAnsi="Arial" w:cs="David"/>
          <w:sz w:val="24"/>
          <w:szCs w:val="24"/>
          <w:rtl/>
        </w:rPr>
        <w:t xml:space="preserve"> של שנת </w:t>
      </w:r>
      <w:r w:rsidR="00F426C3" w:rsidRPr="00A30D43">
        <w:rPr>
          <w:rFonts w:ascii="Arial" w:hAnsi="Arial" w:cs="David"/>
          <w:sz w:val="24"/>
          <w:szCs w:val="24"/>
          <w:rtl/>
        </w:rPr>
        <w:t>201</w:t>
      </w:r>
      <w:r w:rsidR="00CB07FA" w:rsidRPr="00A30D43">
        <w:rPr>
          <w:rFonts w:ascii="Arial" w:hAnsi="Arial" w:cs="David" w:hint="cs"/>
          <w:sz w:val="24"/>
          <w:szCs w:val="24"/>
          <w:rtl/>
        </w:rPr>
        <w:t>8</w:t>
      </w:r>
      <w:r w:rsidRPr="00A30D43">
        <w:rPr>
          <w:rFonts w:ascii="Arial" w:hAnsi="Arial" w:cs="David"/>
          <w:sz w:val="24"/>
          <w:szCs w:val="24"/>
          <w:rtl/>
        </w:rPr>
        <w:t xml:space="preserve"> </w:t>
      </w:r>
      <w:r w:rsidR="00045838" w:rsidRPr="00A30D43">
        <w:rPr>
          <w:rFonts w:ascii="Arial" w:hAnsi="Arial" w:cs="David" w:hint="cs"/>
          <w:sz w:val="24"/>
          <w:szCs w:val="24"/>
          <w:rtl/>
        </w:rPr>
        <w:t>נטילת</w:t>
      </w:r>
      <w:r w:rsidR="003138AF" w:rsidRPr="00A30D43">
        <w:rPr>
          <w:rFonts w:ascii="Arial" w:hAnsi="Arial" w:cs="David" w:hint="cs"/>
          <w:sz w:val="24"/>
          <w:szCs w:val="24"/>
          <w:rtl/>
        </w:rPr>
        <w:t xml:space="preserve"> משכנתאות</w:t>
      </w:r>
      <w:r w:rsidR="00D46A28" w:rsidRPr="00A30D43">
        <w:rPr>
          <w:rFonts w:ascii="Arial" w:hAnsi="Arial" w:cs="David" w:hint="cs"/>
          <w:sz w:val="24"/>
          <w:szCs w:val="24"/>
          <w:rtl/>
        </w:rPr>
        <w:t xml:space="preserve"> חדשות</w:t>
      </w:r>
      <w:r w:rsidR="003138AF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162787" w:rsidRPr="00A30D43">
        <w:rPr>
          <w:rFonts w:ascii="Arial" w:hAnsi="Arial" w:cs="David"/>
          <w:sz w:val="24"/>
          <w:szCs w:val="24"/>
          <w:rtl/>
        </w:rPr>
        <w:t xml:space="preserve">הסתכמה </w:t>
      </w:r>
      <w:r w:rsidRPr="00A30D43">
        <w:rPr>
          <w:rFonts w:ascii="Arial" w:hAnsi="Arial" w:cs="David"/>
          <w:sz w:val="24"/>
          <w:szCs w:val="24"/>
          <w:rtl/>
        </w:rPr>
        <w:t>בכ-</w:t>
      </w:r>
      <w:r w:rsidR="00CB07FA" w:rsidRPr="00A30D43">
        <w:rPr>
          <w:rFonts w:ascii="Arial" w:hAnsi="Arial" w:cs="David" w:hint="cs"/>
          <w:sz w:val="24"/>
          <w:szCs w:val="24"/>
          <w:rtl/>
        </w:rPr>
        <w:t>16</w:t>
      </w:r>
      <w:r w:rsidR="00045838" w:rsidRPr="00A30D43">
        <w:rPr>
          <w:rFonts w:ascii="Arial" w:hAnsi="Arial" w:cs="David"/>
          <w:sz w:val="24"/>
          <w:szCs w:val="24"/>
          <w:rtl/>
        </w:rPr>
        <w:t xml:space="preserve"> מיליארדי </w:t>
      </w:r>
      <w:r w:rsidR="003A5570" w:rsidRPr="00A30D43">
        <w:rPr>
          <w:rFonts w:ascii="Arial" w:hAnsi="Arial" w:cs="David" w:hint="cs"/>
          <w:sz w:val="24"/>
          <w:szCs w:val="24"/>
          <w:rtl/>
        </w:rPr>
        <w:t>ש"ח,</w:t>
      </w:r>
      <w:r w:rsidR="00045838" w:rsidRPr="00A30D43">
        <w:rPr>
          <w:rFonts w:ascii="Arial" w:hAnsi="Arial" w:cs="David" w:hint="cs"/>
          <w:sz w:val="24"/>
          <w:szCs w:val="24"/>
          <w:rtl/>
        </w:rPr>
        <w:t xml:space="preserve"> גבוה</w:t>
      </w:r>
      <w:r w:rsidRPr="00A30D43">
        <w:rPr>
          <w:rFonts w:ascii="Arial" w:hAnsi="Arial" w:cs="David"/>
          <w:sz w:val="24"/>
          <w:szCs w:val="24"/>
          <w:rtl/>
        </w:rPr>
        <w:t xml:space="preserve"> </w:t>
      </w:r>
      <w:r w:rsidR="00CF24FB" w:rsidRPr="00A30D43">
        <w:rPr>
          <w:rFonts w:ascii="Arial" w:hAnsi="Arial" w:cs="David" w:hint="cs"/>
          <w:sz w:val="24"/>
          <w:szCs w:val="24"/>
          <w:rtl/>
        </w:rPr>
        <w:t>מה</w:t>
      </w:r>
      <w:r w:rsidRPr="00A30D43">
        <w:rPr>
          <w:rFonts w:ascii="Arial" w:hAnsi="Arial" w:cs="David"/>
          <w:sz w:val="24"/>
          <w:szCs w:val="24"/>
          <w:rtl/>
        </w:rPr>
        <w:t>תקופה המקבילה אשתקד</w:t>
      </w:r>
      <w:r w:rsidR="00CF24FB" w:rsidRPr="00A30D43">
        <w:rPr>
          <w:rFonts w:ascii="Arial" w:hAnsi="Arial" w:cs="David" w:hint="cs"/>
          <w:sz w:val="24"/>
          <w:szCs w:val="24"/>
          <w:rtl/>
        </w:rPr>
        <w:t xml:space="preserve"> (</w:t>
      </w:r>
      <w:r w:rsidR="00CC2676" w:rsidRPr="00A30D43">
        <w:rPr>
          <w:rFonts w:ascii="Arial" w:hAnsi="Arial" w:cs="David" w:hint="cs"/>
          <w:sz w:val="24"/>
          <w:szCs w:val="24"/>
          <w:rtl/>
        </w:rPr>
        <w:t>כ-</w:t>
      </w:r>
      <w:r w:rsidR="00CB07FA" w:rsidRPr="00A30D43">
        <w:rPr>
          <w:rFonts w:ascii="Arial" w:hAnsi="Arial" w:cs="David" w:hint="cs"/>
          <w:sz w:val="24"/>
          <w:szCs w:val="24"/>
          <w:rtl/>
        </w:rPr>
        <w:t>13</w:t>
      </w:r>
      <w:r w:rsidR="00221420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CF24FB" w:rsidRPr="00A30D43">
        <w:rPr>
          <w:rFonts w:ascii="Arial" w:hAnsi="Arial" w:cs="David" w:hint="cs"/>
          <w:sz w:val="24"/>
          <w:szCs w:val="24"/>
          <w:rtl/>
        </w:rPr>
        <w:t>מיליארדים)</w:t>
      </w:r>
      <w:r w:rsidR="000E45F2" w:rsidRPr="00A30D43">
        <w:rPr>
          <w:rFonts w:ascii="Arial" w:hAnsi="Arial" w:cs="David" w:hint="cs"/>
          <w:sz w:val="24"/>
          <w:szCs w:val="24"/>
          <w:rtl/>
        </w:rPr>
        <w:t xml:space="preserve">. </w:t>
      </w:r>
      <w:r w:rsidR="00045838" w:rsidRPr="00A30D43">
        <w:rPr>
          <w:rFonts w:ascii="Arial" w:hAnsi="Arial" w:cs="David" w:hint="cs"/>
          <w:sz w:val="24"/>
          <w:szCs w:val="24"/>
          <w:rtl/>
        </w:rPr>
        <w:t>בינואר 201</w:t>
      </w:r>
      <w:r w:rsidR="00CB07FA" w:rsidRPr="00A30D43">
        <w:rPr>
          <w:rFonts w:ascii="Arial" w:hAnsi="Arial" w:cs="David" w:hint="cs"/>
          <w:sz w:val="24"/>
          <w:szCs w:val="24"/>
          <w:rtl/>
        </w:rPr>
        <w:t>9</w:t>
      </w:r>
      <w:r w:rsidR="00045838" w:rsidRPr="00A30D43">
        <w:rPr>
          <w:rFonts w:ascii="Arial" w:hAnsi="Arial" w:cs="David" w:hint="cs"/>
          <w:sz w:val="24"/>
          <w:szCs w:val="24"/>
          <w:rtl/>
        </w:rPr>
        <w:t xml:space="preserve"> </w:t>
      </w:r>
      <w:r w:rsidR="00CB07FA" w:rsidRPr="00A30D43">
        <w:rPr>
          <w:rFonts w:ascii="Arial" w:hAnsi="Arial" w:cs="David" w:hint="cs"/>
          <w:sz w:val="24"/>
          <w:szCs w:val="24"/>
          <w:rtl/>
        </w:rPr>
        <w:t>נטילת משכנתאות חדשות הסתכמה בכ-5 מיליארדי ש"ח, דומה לממוצע החודשי במהלך הרביע הרביעי של שנת 2018</w:t>
      </w:r>
      <w:r w:rsidR="00CC2676" w:rsidRPr="00A30D43">
        <w:rPr>
          <w:rFonts w:ascii="Arial" w:hAnsi="Arial" w:cs="David" w:hint="cs"/>
          <w:sz w:val="24"/>
          <w:szCs w:val="24"/>
          <w:rtl/>
        </w:rPr>
        <w:t xml:space="preserve">. </w:t>
      </w:r>
      <w:r w:rsidR="00664600" w:rsidRPr="00A30D43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070391" w:rsidRPr="00A30D43">
        <w:rPr>
          <w:rFonts w:ascii="Arial" w:hAnsi="Arial" w:cs="David"/>
          <w:sz w:val="24"/>
          <w:szCs w:val="24"/>
        </w:rPr>
        <w:t>6</w:t>
      </w:r>
      <w:r w:rsidR="00060D8E" w:rsidRPr="00A30D43">
        <w:rPr>
          <w:rFonts w:ascii="Arial" w:hAnsi="Arial" w:cs="David" w:hint="cs"/>
          <w:sz w:val="24"/>
          <w:szCs w:val="24"/>
          <w:rtl/>
        </w:rPr>
        <w:t>)</w:t>
      </w:r>
    </w:p>
    <w:p w:rsidR="00B33FA0" w:rsidRPr="00A30D43" w:rsidRDefault="00B33FA0" w:rsidP="00B33FA0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402A67" w:rsidRPr="00A30D43" w:rsidRDefault="00402A67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A30D43" w:rsidRDefault="00AC3E61" w:rsidP="0041681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לוח </w:t>
      </w:r>
      <w:r w:rsidR="00416818" w:rsidRPr="00A30D43">
        <w:rPr>
          <w:rFonts w:asciiTheme="minorBidi" w:hAnsiTheme="minorBidi" w:cs="David"/>
          <w:b/>
          <w:bCs/>
          <w:sz w:val="24"/>
          <w:szCs w:val="24"/>
        </w:rPr>
        <w:t>2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>: יתרות החוב של משקי הבית</w:t>
      </w:r>
      <w:r w:rsidRPr="00A30D43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A30D43">
        <w:rPr>
          <w:rFonts w:ascii="Arial" w:hAnsi="Arial" w:cs="David"/>
          <w:sz w:val="24"/>
          <w:szCs w:val="24"/>
        </w:rPr>
        <w:t xml:space="preserve"> </w:t>
      </w:r>
    </w:p>
    <w:p w:rsidR="006D3752" w:rsidRPr="00A30D43" w:rsidRDefault="00D251F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cs="David"/>
          <w:noProof/>
          <w:rtl/>
          <w:lang w:eastAsia="en-US"/>
        </w:rPr>
        <w:drawing>
          <wp:inline distT="0" distB="0" distL="0" distR="0" wp14:anchorId="5739B823" wp14:editId="5C5A0BC0">
            <wp:extent cx="5278120" cy="4463919"/>
            <wp:effectExtent l="0" t="0" r="0" b="0"/>
            <wp:docPr id="8" name="תמונה 8" descr="יתרות החוב של משקי הבית" title="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6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A30D43" w:rsidRDefault="00D46A28" w:rsidP="00DC51E3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46A28" w:rsidRPr="00A30D43" w:rsidRDefault="00D46A28" w:rsidP="00D46A28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A30D43" w:rsidRDefault="00941A49" w:rsidP="00D46A28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A30D43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251F2" w:rsidRPr="00A30D43" w:rsidRDefault="00D251F2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941A49" w:rsidRPr="00A30D43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A30D43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47FBF" w:rsidRPr="00A30D43" w:rsidRDefault="00D47FBF" w:rsidP="00070391">
      <w:pPr>
        <w:bidi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070391" w:rsidRPr="00A30D43">
        <w:rPr>
          <w:rFonts w:asciiTheme="minorBidi" w:hAnsiTheme="minorBidi" w:cs="David"/>
          <w:b/>
          <w:bCs/>
          <w:sz w:val="24"/>
          <w:szCs w:val="24"/>
        </w:rPr>
        <w:t>5</w:t>
      </w:r>
      <w:r w:rsidR="00DC51E3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>: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A30D43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A30D43" w:rsidRDefault="00D251F2" w:rsidP="00B33FA0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581BA51" wp14:editId="5CD568AD">
            <wp:extent cx="5297805" cy="2877820"/>
            <wp:effectExtent l="0" t="0" r="0" b="0"/>
            <wp:docPr id="9" name="תמונה 9" descr="שיעורי השינוי לעומת הרביע המקביל בשנה הקודמת בחוב של משקי הבית לדיור ושלא לדיור" title="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A30D43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A30D43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280F81" w:rsidRPr="00A30D43" w:rsidRDefault="00BF4C2E" w:rsidP="0007039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070391" w:rsidRPr="00A30D43">
        <w:rPr>
          <w:rFonts w:asciiTheme="minorBidi" w:hAnsiTheme="minorBidi" w:cs="David"/>
          <w:b/>
          <w:bCs/>
          <w:sz w:val="24"/>
          <w:szCs w:val="24"/>
        </w:rPr>
        <w:t>6</w:t>
      </w:r>
      <w:r w:rsidRPr="00A30D43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280F81" w:rsidRPr="00A30D43">
        <w:rPr>
          <w:rFonts w:asciiTheme="minorBidi" w:hAnsiTheme="minorBidi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A30D4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(משכנתאות)</w:t>
      </w:r>
    </w:p>
    <w:p w:rsidR="00005C41" w:rsidRPr="00A30D43" w:rsidRDefault="00005C41" w:rsidP="00005C4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24EF2" w:rsidRPr="00A30D43" w:rsidRDefault="00D251F2" w:rsidP="00280F81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A30D43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021D97FB" wp14:editId="445C3793">
            <wp:extent cx="5297805" cy="2865120"/>
            <wp:effectExtent l="0" t="0" r="0" b="0"/>
            <wp:docPr id="12" name="תמונה 12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A30D43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A30D43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9" w:history="1">
        <w:r w:rsidRPr="00A30D43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A30D43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20" w:history="1">
        <w:r w:rsidRPr="00A30D43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A30D43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21" w:history="1">
        <w:r w:rsidR="00F97D41" w:rsidRPr="00A30D43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A30D43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A30D43" w:rsidSect="007A3CCD">
      <w:footerReference w:type="default" r:id="rId22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DB" w:rsidRDefault="009118DB" w:rsidP="00C04A6B">
      <w:r>
        <w:separator/>
      </w:r>
    </w:p>
  </w:endnote>
  <w:endnote w:type="continuationSeparator" w:id="0">
    <w:p w:rsidR="009118DB" w:rsidRDefault="009118D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A30D43" w:rsidRDefault="00507193" w:rsidP="00602DED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A30D43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A30D43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A30D43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A30D43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A30D43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FA0242" w:rsidRPr="00A30D43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631A91" w:rsidRPr="00A30D43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רביעי</w:t>
            </w:r>
            <w:r w:rsidR="00802DF3" w:rsidRPr="00A30D43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F426C3" w:rsidRPr="00A30D43">
              <w:rPr>
                <w:rFonts w:ascii="Arial" w:hAnsi="Arial" w:cs="David" w:hint="cs"/>
                <w:sz w:val="24"/>
                <w:szCs w:val="24"/>
                <w:rtl/>
                <w:lang w:val="he-IL"/>
              </w:rPr>
              <w:t>201</w:t>
            </w:r>
            <w:r w:rsidR="00602DED" w:rsidRPr="00A30D43">
              <w:rPr>
                <w:rFonts w:ascii="Arial" w:hAnsi="Arial" w:cs="David" w:hint="cs"/>
                <w:sz w:val="24"/>
                <w:szCs w:val="24"/>
                <w:rtl/>
                <w:lang w:val="he-IL"/>
              </w:rPr>
              <w:t>8</w:t>
            </w:r>
            <w:r w:rsidR="002438E2" w:rsidRPr="00A30D43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A30D43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A30D43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A30D43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A30D43">
              <w:rPr>
                <w:rFonts w:ascii="Arial" w:hAnsi="Arial" w:cs="David"/>
                <w:noProof/>
                <w:sz w:val="24"/>
                <w:szCs w:val="24"/>
                <w:rtl/>
              </w:rPr>
              <w:t>6</w:t>
            </w:r>
            <w:r w:rsidR="002438E2" w:rsidRPr="00A30D43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A30D43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A30D43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A30D43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A30D43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A30D43">
              <w:rPr>
                <w:rFonts w:ascii="Arial" w:hAnsi="Arial" w:cs="David"/>
                <w:noProof/>
                <w:sz w:val="24"/>
                <w:szCs w:val="24"/>
                <w:rtl/>
              </w:rPr>
              <w:t>6</w:t>
            </w:r>
            <w:r w:rsidR="002438E2" w:rsidRPr="00A30D43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DB" w:rsidRDefault="009118DB" w:rsidP="00C04A6B">
      <w:r>
        <w:separator/>
      </w:r>
    </w:p>
  </w:footnote>
  <w:footnote w:type="continuationSeparator" w:id="0">
    <w:p w:rsidR="009118DB" w:rsidRDefault="009118DB" w:rsidP="00C04A6B">
      <w:r>
        <w:continuationSeparator/>
      </w:r>
    </w:p>
  </w:footnote>
  <w:footnote w:id="1">
    <w:p w:rsidR="003030A9" w:rsidRDefault="003030A9" w:rsidP="003030A9">
      <w:pPr>
        <w:pStyle w:val="af"/>
        <w:bidi/>
        <w:rPr>
          <w:rtl/>
        </w:rPr>
      </w:pPr>
      <w:r w:rsidRPr="00B102F2">
        <w:rPr>
          <w:rStyle w:val="af1"/>
        </w:rPr>
        <w:footnoteRef/>
      </w:r>
      <w:r w:rsidRPr="00B102F2">
        <w:t xml:space="preserve"> </w:t>
      </w:r>
      <w:r w:rsidRPr="00B102F2">
        <w:rPr>
          <w:rFonts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נתוני החוב לבנקים מבוססים על נתוני המאזניים החודשיים ולא על נתוני הדוחות הכספיים השנתיים, שכן הדוחות ל-2018 טרם פורסמו לציבור.  </w:t>
      </w:r>
      <w:r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490E"/>
    <w:rsid w:val="00045838"/>
    <w:rsid w:val="00051063"/>
    <w:rsid w:val="0005169A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AE3"/>
    <w:rsid w:val="000B7D5E"/>
    <w:rsid w:val="000C62F4"/>
    <w:rsid w:val="000D756E"/>
    <w:rsid w:val="000E3992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C6B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0F11"/>
    <w:rsid w:val="00263083"/>
    <w:rsid w:val="00264230"/>
    <w:rsid w:val="00265361"/>
    <w:rsid w:val="00266DC3"/>
    <w:rsid w:val="0027192B"/>
    <w:rsid w:val="00274A6A"/>
    <w:rsid w:val="00280F81"/>
    <w:rsid w:val="0028327B"/>
    <w:rsid w:val="00283EC9"/>
    <w:rsid w:val="002868D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E016D"/>
    <w:rsid w:val="002E20F7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5E7"/>
    <w:rsid w:val="00310281"/>
    <w:rsid w:val="003138AF"/>
    <w:rsid w:val="00315DCB"/>
    <w:rsid w:val="00317948"/>
    <w:rsid w:val="00320FD1"/>
    <w:rsid w:val="00322FC0"/>
    <w:rsid w:val="00323164"/>
    <w:rsid w:val="003240D3"/>
    <w:rsid w:val="00324EF2"/>
    <w:rsid w:val="0033214F"/>
    <w:rsid w:val="00333F8E"/>
    <w:rsid w:val="00340B38"/>
    <w:rsid w:val="0034285A"/>
    <w:rsid w:val="003439F5"/>
    <w:rsid w:val="0035070F"/>
    <w:rsid w:val="003509EF"/>
    <w:rsid w:val="00351EF0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14E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5570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39B8"/>
    <w:rsid w:val="003F4002"/>
    <w:rsid w:val="003F454D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1E57"/>
    <w:rsid w:val="0056258A"/>
    <w:rsid w:val="00572730"/>
    <w:rsid w:val="00572B04"/>
    <w:rsid w:val="00573545"/>
    <w:rsid w:val="00574044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0C16"/>
    <w:rsid w:val="006D3752"/>
    <w:rsid w:val="006D526D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17D"/>
    <w:rsid w:val="00716EF2"/>
    <w:rsid w:val="00720923"/>
    <w:rsid w:val="00725208"/>
    <w:rsid w:val="00725739"/>
    <w:rsid w:val="00727054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45DE"/>
    <w:rsid w:val="007B6206"/>
    <w:rsid w:val="007C0A47"/>
    <w:rsid w:val="007C2446"/>
    <w:rsid w:val="007C26C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E7A02"/>
    <w:rsid w:val="008F47C4"/>
    <w:rsid w:val="0090225A"/>
    <w:rsid w:val="00902402"/>
    <w:rsid w:val="0090346B"/>
    <w:rsid w:val="009050FC"/>
    <w:rsid w:val="009065F1"/>
    <w:rsid w:val="00911151"/>
    <w:rsid w:val="009118DB"/>
    <w:rsid w:val="00912494"/>
    <w:rsid w:val="00915424"/>
    <w:rsid w:val="00915CE8"/>
    <w:rsid w:val="00917C1C"/>
    <w:rsid w:val="0092021B"/>
    <w:rsid w:val="00923125"/>
    <w:rsid w:val="009231C3"/>
    <w:rsid w:val="00925F5D"/>
    <w:rsid w:val="009303F4"/>
    <w:rsid w:val="009311DE"/>
    <w:rsid w:val="00933604"/>
    <w:rsid w:val="00941A49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2755"/>
    <w:rsid w:val="009A3808"/>
    <w:rsid w:val="009A54F7"/>
    <w:rsid w:val="009A7195"/>
    <w:rsid w:val="009A773E"/>
    <w:rsid w:val="009B0128"/>
    <w:rsid w:val="009B16C6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CC8"/>
    <w:rsid w:val="00A30D43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BFF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3219B"/>
    <w:rsid w:val="00C411E7"/>
    <w:rsid w:val="00C4129A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74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07FA"/>
    <w:rsid w:val="00CB187C"/>
    <w:rsid w:val="00CB1B2B"/>
    <w:rsid w:val="00CB39D9"/>
    <w:rsid w:val="00CB450C"/>
    <w:rsid w:val="00CC1A24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2C0B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C51E3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35BB"/>
    <w:rsid w:val="00E36930"/>
    <w:rsid w:val="00E4179F"/>
    <w:rsid w:val="00E42B88"/>
    <w:rsid w:val="00E44E3D"/>
    <w:rsid w:val="00E46A8F"/>
    <w:rsid w:val="00E46FD4"/>
    <w:rsid w:val="00E51F1E"/>
    <w:rsid w:val="00E577A9"/>
    <w:rsid w:val="00E65ACA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D17CE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1828"/>
    <w:rsid w:val="00F96916"/>
    <w:rsid w:val="00F97D41"/>
    <w:rsid w:val="00FA0242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://www.boi.org.il/he/BankingSupervision/Data/Pages/Tables.aspx?ChapterId=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http://www.boi.org.il/he/BankingSupervision/Data/Pages/Tables.aspx?ChapterId=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boi.org.il/he/NewsAndPublications/RegularPublications/Pages/MabatStat2018.aspx" TargetMode="External"/><Relationship Id="rId19" Type="http://schemas.openxmlformats.org/officeDocument/2006/relationships/hyperlink" Target="http://www.boi.org.il/he/DataAndStatistics/Pages/MainPage.aspx?Level=4&amp;Sid=53&amp;SubjectType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DE065-20A8-46AE-9875-8161C36F1B3D}"/>
</file>

<file path=customXml/itemProps2.xml><?xml version="1.0" encoding="utf-8"?>
<ds:datastoreItem xmlns:ds="http://schemas.openxmlformats.org/officeDocument/2006/customXml" ds:itemID="{5C6C3087-9AEE-44FF-BA7A-B34CCD2FE923}"/>
</file>

<file path=customXml/itemProps3.xml><?xml version="1.0" encoding="utf-8"?>
<ds:datastoreItem xmlns:ds="http://schemas.openxmlformats.org/officeDocument/2006/customXml" ds:itemID="{DD151BEF-7B2D-4104-9A95-70366CB810B9}"/>
</file>

<file path=customXml/itemProps4.xml><?xml version="1.0" encoding="utf-8"?>
<ds:datastoreItem xmlns:ds="http://schemas.openxmlformats.org/officeDocument/2006/customXml" ds:itemID="{D9E2C53A-4D4C-4065-B51B-3CBC27873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629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2019-03-18T08:14:00Z</dcterms:created>
  <dcterms:modified xsi:type="dcterms:W3CDTF">2019-03-18T08:14:00Z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