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3B010F">
              <w:rPr>
                <w:rFonts w:asciiTheme="minorHAnsi" w:hAnsiTheme="minorHAnsi" w:cstheme="minorHAnsi"/>
                <w:noProof/>
                <w:rtl/>
              </w:rPr>
              <w:t>‏כ"ט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3B010F">
              <w:rPr>
                <w:rFonts w:asciiTheme="minorHAnsi" w:hAnsiTheme="minorHAnsi" w:cstheme="minorHAnsi"/>
                <w:noProof/>
                <w:rtl/>
              </w:rPr>
              <w:t>‏18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3B010F" w:rsidRPr="003B010F" w:rsidRDefault="003B010F" w:rsidP="003B010F">
      <w:pPr>
        <w:pStyle w:val="whitespace-pre-wrap"/>
        <w:bidi/>
        <w:spacing w:before="0" w:beforeAutospacing="0" w:after="0" w:afterAutospacing="0" w:line="360" w:lineRule="auto"/>
        <w:contextualSpacing/>
        <w:jc w:val="center"/>
        <w:rPr>
          <w:rFonts w:ascii="Calibri" w:eastAsia="Calibri" w:hAnsi="Calibri" w:cs="Calibri"/>
          <w:b/>
          <w:bCs/>
          <w:color w:val="000000" w:themeColor="text1"/>
          <w:sz w:val="28"/>
          <w:szCs w:val="28"/>
          <w:rtl/>
        </w:rPr>
      </w:pPr>
      <w:r w:rsidRPr="003B010F">
        <w:rPr>
          <w:rFonts w:ascii="Calibri" w:eastAsia="Calibri" w:hAnsi="Calibri" w:cs="Calibri" w:hint="cs"/>
          <w:b/>
          <w:bCs/>
          <w:color w:val="000000" w:themeColor="text1"/>
          <w:sz w:val="28"/>
          <w:szCs w:val="28"/>
          <w:rtl/>
        </w:rPr>
        <w:t>תיבה מתוך דו"ח בנק ישראל לשנת 2025</w:t>
      </w:r>
      <w:r w:rsidRPr="003B010F">
        <w:rPr>
          <w:rFonts w:ascii="Calibri" w:eastAsia="Calibri" w:hAnsi="Calibri" w:cs="Calibri" w:hint="cs"/>
          <w:b/>
          <w:bCs/>
          <w:color w:val="000000" w:themeColor="text1"/>
          <w:sz w:val="28"/>
          <w:szCs w:val="28"/>
          <w:rtl/>
        </w:rPr>
        <w:t xml:space="preserve">: </w:t>
      </w:r>
      <w:bookmarkStart w:id="0" w:name="_GoBack"/>
      <w:r w:rsidRPr="003B010F">
        <w:rPr>
          <w:rFonts w:ascii="Calibri" w:eastAsia="Calibri" w:hAnsi="Calibri" w:cs="Calibri"/>
          <w:b/>
          <w:bCs/>
          <w:color w:val="000000" w:themeColor="text1"/>
          <w:sz w:val="28"/>
          <w:szCs w:val="28"/>
          <w:rtl/>
        </w:rPr>
        <w:t>מִחזורי</w:t>
      </w:r>
      <w:r w:rsidRPr="003B010F">
        <w:rPr>
          <w:rFonts w:ascii="Calibri" w:eastAsia="Calibri" w:hAnsi="Calibri" w:cs="Calibri" w:hint="cs"/>
          <w:b/>
          <w:bCs/>
          <w:color w:val="000000" w:themeColor="text1"/>
          <w:sz w:val="28"/>
          <w:szCs w:val="28"/>
          <w:rtl/>
        </w:rPr>
        <w:t>ם באשראי לדיור</w:t>
      </w:r>
      <w:r w:rsidRPr="003B010F">
        <w:rPr>
          <w:rFonts w:ascii="Calibri" w:eastAsia="Calibri" w:hAnsi="Calibri" w:cs="Calibri"/>
          <w:b/>
          <w:bCs/>
          <w:color w:val="000000" w:themeColor="text1"/>
          <w:sz w:val="28"/>
          <w:szCs w:val="28"/>
          <w:rtl/>
        </w:rPr>
        <w:t xml:space="preserve"> – סיבות, מגמות ומאפייני לווים</w:t>
      </w:r>
    </w:p>
    <w:bookmarkEnd w:id="0"/>
    <w:p w:rsidR="003B010F" w:rsidRPr="00C00A09" w:rsidRDefault="003B010F" w:rsidP="003B010F">
      <w:pPr>
        <w:pStyle w:val="ListParagraph"/>
        <w:numPr>
          <w:ilvl w:val="0"/>
          <w:numId w:val="8"/>
        </w:numPr>
        <w:bidi/>
        <w:spacing w:after="0" w:line="360" w:lineRule="auto"/>
        <w:jc w:val="both"/>
        <w:rPr>
          <w:rFonts w:ascii="Calibri" w:eastAsia="Times New Roman" w:hAnsi="Calibri" w:cs="Calibri"/>
        </w:rPr>
      </w:pPr>
      <w:r w:rsidRPr="00C00A09">
        <w:rPr>
          <w:rFonts w:ascii="Calibri" w:eastAsia="Times New Roman" w:hAnsi="Calibri" w:cs="Calibri"/>
          <w:rtl/>
        </w:rPr>
        <w:t>התיבה בוחנת את מגמות מ</w:t>
      </w:r>
      <w:r>
        <w:rPr>
          <w:rFonts w:ascii="Calibri" w:eastAsia="Times New Roman" w:hAnsi="Calibri" w:cs="Calibri"/>
          <w:rtl/>
        </w:rPr>
        <w:t>ִ</w:t>
      </w:r>
      <w:r w:rsidRPr="00C00A09">
        <w:rPr>
          <w:rFonts w:ascii="Calibri" w:eastAsia="Times New Roman" w:hAnsi="Calibri" w:cs="Calibri"/>
          <w:rtl/>
        </w:rPr>
        <w:t xml:space="preserve">חזורי המשכנתאות בישראל בשנים האחרונות, </w:t>
      </w:r>
      <w:proofErr w:type="spellStart"/>
      <w:r w:rsidRPr="00C00A09">
        <w:rPr>
          <w:rFonts w:ascii="Calibri" w:eastAsia="Times New Roman" w:hAnsi="Calibri" w:cs="Calibri"/>
          <w:rtl/>
        </w:rPr>
        <w:t>תוך</w:t>
      </w:r>
      <w:r>
        <w:rPr>
          <w:rFonts w:ascii="Calibri" w:eastAsia="Times New Roman" w:hAnsi="Calibri" w:cs="Calibri" w:hint="cs"/>
          <w:rtl/>
        </w:rPr>
        <w:t>־כדי</w:t>
      </w:r>
      <w:proofErr w:type="spellEnd"/>
      <w:r w:rsidRPr="00C00A09">
        <w:rPr>
          <w:rFonts w:ascii="Calibri" w:eastAsia="Times New Roman" w:hAnsi="Calibri" w:cs="Calibri"/>
          <w:rtl/>
        </w:rPr>
        <w:t xml:space="preserve"> הבחנה בין מ</w:t>
      </w:r>
      <w:r>
        <w:rPr>
          <w:rFonts w:ascii="Calibri" w:eastAsia="Times New Roman" w:hAnsi="Calibri" w:cs="Calibri"/>
          <w:rtl/>
        </w:rPr>
        <w:t>ִ</w:t>
      </w:r>
      <w:r w:rsidRPr="00C00A09">
        <w:rPr>
          <w:rFonts w:ascii="Calibri" w:eastAsia="Times New Roman" w:hAnsi="Calibri" w:cs="Calibri"/>
          <w:rtl/>
        </w:rPr>
        <w:t>חזורים הנובעים משיקולי התאמת תמהיל ההלוואה</w:t>
      </w:r>
      <w:r>
        <w:rPr>
          <w:rFonts w:ascii="Calibri" w:eastAsia="Times New Roman" w:hAnsi="Calibri" w:cs="Calibri" w:hint="cs"/>
          <w:rtl/>
        </w:rPr>
        <w:t xml:space="preserve"> לצורך הפחתת העלות</w:t>
      </w:r>
      <w:r w:rsidRPr="00C00A09">
        <w:rPr>
          <w:rFonts w:ascii="Calibri" w:eastAsia="Times New Roman" w:hAnsi="Calibri" w:cs="Calibri"/>
          <w:rtl/>
        </w:rPr>
        <w:t xml:space="preserve"> לבין מ</w:t>
      </w:r>
      <w:r>
        <w:rPr>
          <w:rFonts w:ascii="Calibri" w:eastAsia="Times New Roman" w:hAnsi="Calibri" w:cs="Calibri"/>
          <w:rtl/>
        </w:rPr>
        <w:t>ִ</w:t>
      </w:r>
      <w:r w:rsidRPr="00C00A09">
        <w:rPr>
          <w:rFonts w:ascii="Calibri" w:eastAsia="Times New Roman" w:hAnsi="Calibri" w:cs="Calibri"/>
          <w:rtl/>
        </w:rPr>
        <w:t xml:space="preserve">חזורים שמטרתם הקלה </w:t>
      </w:r>
      <w:proofErr w:type="spellStart"/>
      <w:r w:rsidRPr="00C00A09">
        <w:rPr>
          <w:rFonts w:ascii="Calibri" w:eastAsia="Times New Roman" w:hAnsi="Calibri" w:cs="Calibri"/>
          <w:rtl/>
        </w:rPr>
        <w:t>תזרימית</w:t>
      </w:r>
      <w:proofErr w:type="spellEnd"/>
      <w:r w:rsidRPr="00C00A09">
        <w:rPr>
          <w:rFonts w:ascii="Calibri" w:eastAsia="Times New Roman" w:hAnsi="Calibri" w:cs="Calibri"/>
          <w:rtl/>
        </w:rPr>
        <w:t>.</w:t>
      </w:r>
    </w:p>
    <w:p w:rsidR="003B010F" w:rsidRPr="003B010F" w:rsidRDefault="003B010F" w:rsidP="003B010F">
      <w:pPr>
        <w:pStyle w:val="ListParagraph"/>
        <w:numPr>
          <w:ilvl w:val="0"/>
          <w:numId w:val="8"/>
        </w:numPr>
        <w:bidi/>
        <w:spacing w:after="0" w:line="360" w:lineRule="auto"/>
        <w:jc w:val="both"/>
        <w:rPr>
          <w:rFonts w:asciiTheme="minorHAnsi" w:eastAsia="Times New Roman" w:hAnsiTheme="minorHAnsi" w:cstheme="minorHAnsi"/>
          <w:color w:val="000000" w:themeColor="text1"/>
        </w:rPr>
      </w:pPr>
      <w:r w:rsidRPr="003B010F">
        <w:rPr>
          <w:rFonts w:asciiTheme="minorHAnsi" w:eastAsia="Times New Roman" w:hAnsiTheme="minorHAnsi" w:cstheme="minorHAnsi"/>
          <w:color w:val="000000" w:themeColor="text1"/>
          <w:rtl/>
        </w:rPr>
        <w:t xml:space="preserve">העלייה במִחזורים בשנים 2024–2025 נובעת בעיקר משיקולי אופטימיזציה של תנאי </w:t>
      </w:r>
      <w:proofErr w:type="spellStart"/>
      <w:r w:rsidRPr="003B010F">
        <w:rPr>
          <w:rFonts w:asciiTheme="minorHAnsi" w:eastAsia="Times New Roman" w:hAnsiTheme="minorHAnsi" w:cstheme="minorHAnsi"/>
          <w:color w:val="000000" w:themeColor="text1"/>
          <w:rtl/>
        </w:rPr>
        <w:t>המשכנתה</w:t>
      </w:r>
      <w:proofErr w:type="spellEnd"/>
      <w:r w:rsidRPr="003B010F">
        <w:rPr>
          <w:rFonts w:asciiTheme="minorHAnsi" w:eastAsia="Times New Roman" w:hAnsiTheme="minorHAnsi" w:cstheme="minorHAnsi"/>
          <w:color w:val="000000" w:themeColor="text1"/>
          <w:rtl/>
        </w:rPr>
        <w:t xml:space="preserve"> (שינוי תמהיל ותמחור).</w:t>
      </w:r>
    </w:p>
    <w:p w:rsidR="003B010F" w:rsidRPr="003B010F" w:rsidRDefault="003B010F" w:rsidP="003B010F">
      <w:pPr>
        <w:pStyle w:val="ListParagraph"/>
        <w:numPr>
          <w:ilvl w:val="0"/>
          <w:numId w:val="8"/>
        </w:numPr>
        <w:bidi/>
        <w:spacing w:after="0" w:line="360" w:lineRule="auto"/>
        <w:jc w:val="both"/>
        <w:rPr>
          <w:rFonts w:asciiTheme="minorHAnsi" w:eastAsia="Times New Roman" w:hAnsiTheme="minorHAnsi" w:cstheme="minorHAnsi"/>
          <w:color w:val="000000" w:themeColor="text1"/>
          <w:rtl/>
        </w:rPr>
      </w:pPr>
      <w:r w:rsidRPr="003B010F">
        <w:rPr>
          <w:rFonts w:asciiTheme="minorHAnsi" w:eastAsia="Times New Roman" w:hAnsiTheme="minorHAnsi" w:cstheme="minorHAnsi"/>
          <w:color w:val="000000" w:themeColor="text1"/>
          <w:rtl/>
        </w:rPr>
        <w:t xml:space="preserve">כ-15 אחוזים מהמִחזורים בוצעו </w:t>
      </w:r>
      <w:proofErr w:type="spellStart"/>
      <w:r w:rsidRPr="003B010F">
        <w:rPr>
          <w:rFonts w:asciiTheme="minorHAnsi" w:eastAsia="Times New Roman" w:hAnsiTheme="minorHAnsi" w:cstheme="minorHAnsi"/>
          <w:color w:val="000000" w:themeColor="text1"/>
          <w:rtl/>
        </w:rPr>
        <w:t>תוך־כדי</w:t>
      </w:r>
      <w:proofErr w:type="spellEnd"/>
      <w:r w:rsidRPr="003B010F">
        <w:rPr>
          <w:rFonts w:asciiTheme="minorHAnsi" w:eastAsia="Times New Roman" w:hAnsiTheme="minorHAnsi" w:cstheme="minorHAnsi"/>
          <w:color w:val="000000" w:themeColor="text1"/>
          <w:rtl/>
        </w:rPr>
        <w:t xml:space="preserve"> הארכת תקופת </w:t>
      </w:r>
      <w:proofErr w:type="spellStart"/>
      <w:r w:rsidRPr="003B010F">
        <w:rPr>
          <w:rFonts w:asciiTheme="minorHAnsi" w:eastAsia="Times New Roman" w:hAnsiTheme="minorHAnsi" w:cstheme="minorHAnsi"/>
          <w:color w:val="000000" w:themeColor="text1"/>
          <w:rtl/>
        </w:rPr>
        <w:t>המשכנתה</w:t>
      </w:r>
      <w:proofErr w:type="spellEnd"/>
      <w:r w:rsidRPr="003B010F">
        <w:rPr>
          <w:rFonts w:asciiTheme="minorHAnsi" w:eastAsia="Times New Roman" w:hAnsiTheme="minorHAnsi" w:cstheme="minorHAnsi"/>
          <w:color w:val="000000" w:themeColor="text1"/>
          <w:rtl/>
        </w:rPr>
        <w:t xml:space="preserve"> עם עלייה בריבית הכוללת החזויה. צעד זה מעיד על שיקול תזרימי שמטרתו הקטנת ההחזר החודשי, גם במחיר של עלייה בעלות הכוללת של ההלוואה.</w:t>
      </w:r>
    </w:p>
    <w:p w:rsidR="003B010F" w:rsidRPr="003B010F" w:rsidRDefault="003B010F" w:rsidP="003B010F">
      <w:pPr>
        <w:pStyle w:val="ListParagraph"/>
        <w:numPr>
          <w:ilvl w:val="0"/>
          <w:numId w:val="7"/>
        </w:numPr>
        <w:bidi/>
        <w:spacing w:after="0" w:line="360" w:lineRule="auto"/>
        <w:jc w:val="both"/>
        <w:rPr>
          <w:rFonts w:asciiTheme="minorHAnsi" w:eastAsia="Calibri" w:hAnsiTheme="minorHAnsi" w:cstheme="minorHAnsi"/>
          <w:color w:val="4F81BD"/>
          <w:rtl/>
        </w:rPr>
      </w:pPr>
      <w:r w:rsidRPr="003B010F">
        <w:rPr>
          <w:rFonts w:asciiTheme="minorHAnsi" w:eastAsia="Calibri" w:hAnsiTheme="minorHAnsi" w:cstheme="minorHAnsi"/>
          <w:color w:val="4F81BD"/>
          <w:rtl/>
        </w:rPr>
        <w:t>רקע</w:t>
      </w:r>
    </w:p>
    <w:p w:rsidR="003B010F" w:rsidRPr="003B010F" w:rsidRDefault="003B010F" w:rsidP="003B010F">
      <w:pPr>
        <w:bidi/>
        <w:spacing w:after="0" w:line="360" w:lineRule="auto"/>
        <w:ind w:left="6"/>
        <w:jc w:val="both"/>
        <w:rPr>
          <w:rFonts w:asciiTheme="minorHAnsi" w:eastAsia="Times New Roman" w:hAnsiTheme="minorHAnsi" w:cstheme="minorHAnsi"/>
          <w:color w:val="000000" w:themeColor="text1"/>
          <w:rtl/>
        </w:rPr>
      </w:pPr>
      <w:r w:rsidRPr="003B010F">
        <w:rPr>
          <w:rFonts w:asciiTheme="minorHAnsi" w:eastAsia="Times New Roman" w:hAnsiTheme="minorHAnsi" w:cstheme="minorHAnsi"/>
          <w:color w:val="000000" w:themeColor="text1"/>
          <w:rtl/>
        </w:rPr>
        <w:t xml:space="preserve">בשנים האחרונות עלה היקף מִחזורי האשראי לדיור (איור ד-11 בפרק). </w:t>
      </w:r>
      <w:proofErr w:type="spellStart"/>
      <w:r w:rsidRPr="003B010F">
        <w:rPr>
          <w:rFonts w:asciiTheme="minorHAnsi" w:eastAsia="Times New Roman" w:hAnsiTheme="minorHAnsi" w:cstheme="minorHAnsi"/>
          <w:color w:val="000000" w:themeColor="text1"/>
          <w:rtl/>
        </w:rPr>
        <w:t>בסך־הכול</w:t>
      </w:r>
      <w:proofErr w:type="spellEnd"/>
      <w:r w:rsidRPr="003B010F">
        <w:rPr>
          <w:rFonts w:asciiTheme="minorHAnsi" w:eastAsia="Times New Roman" w:hAnsiTheme="minorHAnsi" w:cstheme="minorHAnsi"/>
          <w:color w:val="000000" w:themeColor="text1"/>
          <w:rtl/>
        </w:rPr>
        <w:t xml:space="preserve">, בשנת 2025 מוחזרו כ־69 אלף משכנתאות בהיקף מצטבר של כ-43.6 מיליארד ש"ח - סכום השווה לכ־7 אחוזים מסך יתרת תיק המשכנתאות של המערכת הבנקאית, לעומת ממוצע של כ-4.5 אחוזים מהיתרה בשנים 2019 עד 2024. מִחזור משכנתה לעניין ניתוח זה מוגדר כפעולה שבה הלווה מחליף משכנתה קיימת או חלק ממנה בהלוואה חדשה בתנאים שונים, לרבות שינוי מסלולים ותקופת ההחזר, בין אם בבנק המקורי ובין אם בבנק אחר. </w:t>
      </w:r>
    </w:p>
    <w:p w:rsidR="003B010F" w:rsidRPr="003B010F" w:rsidRDefault="003B010F" w:rsidP="003B010F">
      <w:pPr>
        <w:bidi/>
        <w:spacing w:after="0" w:line="360" w:lineRule="auto"/>
        <w:jc w:val="both"/>
        <w:rPr>
          <w:rFonts w:asciiTheme="minorHAnsi" w:eastAsia="Times New Roman" w:hAnsiTheme="minorHAnsi" w:cstheme="minorHAnsi"/>
          <w:color w:val="000000" w:themeColor="text1"/>
          <w:rtl/>
        </w:rPr>
      </w:pPr>
      <w:r w:rsidRPr="003B010F">
        <w:rPr>
          <w:rFonts w:asciiTheme="minorHAnsi" w:eastAsia="Times New Roman" w:hAnsiTheme="minorHAnsi" w:cstheme="minorHAnsi"/>
          <w:color w:val="000000" w:themeColor="text1"/>
          <w:rtl/>
        </w:rPr>
        <w:t xml:space="preserve">יכולות להיות סיבות שונות לביצוע מִחזור משכנתה. ראשית, מִחזור משכנתה יכול להתבצע כדי לשפר את תנאי ההלוואה הקיימת, למשל כאשר הריבית הממוצעת בשוק נמוכה מהריבית המשולמת על </w:t>
      </w:r>
      <w:proofErr w:type="spellStart"/>
      <w:r w:rsidRPr="003B010F">
        <w:rPr>
          <w:rFonts w:asciiTheme="minorHAnsi" w:eastAsia="Times New Roman" w:hAnsiTheme="minorHAnsi" w:cstheme="minorHAnsi"/>
          <w:color w:val="000000" w:themeColor="text1"/>
          <w:rtl/>
        </w:rPr>
        <w:t>המשכנתה</w:t>
      </w:r>
      <w:proofErr w:type="spellEnd"/>
      <w:r w:rsidRPr="003B010F">
        <w:rPr>
          <w:rFonts w:asciiTheme="minorHAnsi" w:eastAsia="Times New Roman" w:hAnsiTheme="minorHAnsi" w:cstheme="minorHAnsi"/>
          <w:color w:val="000000" w:themeColor="text1"/>
          <w:rtl/>
        </w:rPr>
        <w:t xml:space="preserve"> הנוכחית. בפרט, מִחזור של מסלולים בריבית משתנה בסמוך למועד עדכון העוגן מאפשר להתאים את הריבית לתנאי השוק הנוכחיים ללא עמלות היוון. שנית, מִחזור יכול להתבצע לצורך התאמת תמהיל </w:t>
      </w:r>
      <w:proofErr w:type="spellStart"/>
      <w:r w:rsidRPr="003B010F">
        <w:rPr>
          <w:rFonts w:asciiTheme="minorHAnsi" w:eastAsia="Times New Roman" w:hAnsiTheme="minorHAnsi" w:cstheme="minorHAnsi"/>
          <w:color w:val="000000" w:themeColor="text1"/>
          <w:rtl/>
        </w:rPr>
        <w:t>המשכנתה</w:t>
      </w:r>
      <w:proofErr w:type="spellEnd"/>
      <w:r w:rsidRPr="003B010F">
        <w:rPr>
          <w:rFonts w:asciiTheme="minorHAnsi" w:eastAsia="Times New Roman" w:hAnsiTheme="minorHAnsi" w:cstheme="minorHAnsi"/>
          <w:color w:val="000000" w:themeColor="text1"/>
          <w:rtl/>
        </w:rPr>
        <w:t xml:space="preserve"> לשינויים במצב המשק, לדוגמה צמצום המשקל של מסלולים צמודים למדד בתקופה של אינפלציה מתגברת. לחלופין, המִחזור עשוי לשקף התאמה לשינויים במצבו הפיננסי של הלווה, למשל כאשר מתקבל סכום כסף המאפשר פירעון חלקי וקיצור תקופת ההחזר או כאשר קיימת עלייה בהכנסה החודשית המאפשרת הגדלת ההחזר וקיצור התקופה. נוסף על כך, לקוח המעוניין ליטול הלוואה לכל מטרה בביטחון דירת מגורים או תוספת אחרת </w:t>
      </w:r>
      <w:proofErr w:type="spellStart"/>
      <w:r w:rsidRPr="003B010F">
        <w:rPr>
          <w:rFonts w:asciiTheme="minorHAnsi" w:eastAsia="Times New Roman" w:hAnsiTheme="minorHAnsi" w:cstheme="minorHAnsi"/>
          <w:color w:val="000000" w:themeColor="text1"/>
          <w:rtl/>
        </w:rPr>
        <w:t>למשכנתה</w:t>
      </w:r>
      <w:proofErr w:type="spellEnd"/>
      <w:r w:rsidRPr="003B010F">
        <w:rPr>
          <w:rFonts w:asciiTheme="minorHAnsi" w:eastAsia="Times New Roman" w:hAnsiTheme="minorHAnsi" w:cstheme="minorHAnsi"/>
          <w:color w:val="000000" w:themeColor="text1"/>
          <w:rtl/>
        </w:rPr>
        <w:t xml:space="preserve">, לצורך שיפוצים לדוגמה, עשוי לנצל את ההזדמנות לעשות גם מִחזור והתאמות </w:t>
      </w:r>
      <w:proofErr w:type="spellStart"/>
      <w:r w:rsidRPr="003B010F">
        <w:rPr>
          <w:rFonts w:asciiTheme="minorHAnsi" w:eastAsia="Times New Roman" w:hAnsiTheme="minorHAnsi" w:cstheme="minorHAnsi"/>
          <w:color w:val="000000" w:themeColor="text1"/>
          <w:rtl/>
        </w:rPr>
        <w:t>במשכנתה</w:t>
      </w:r>
      <w:proofErr w:type="spellEnd"/>
      <w:r w:rsidRPr="003B010F">
        <w:rPr>
          <w:rFonts w:asciiTheme="minorHAnsi" w:eastAsia="Times New Roman" w:hAnsiTheme="minorHAnsi" w:cstheme="minorHAnsi"/>
          <w:color w:val="000000" w:themeColor="text1"/>
          <w:rtl/>
        </w:rPr>
        <w:t xml:space="preserve"> הקיימת. לבסוף, במקרים שבהם קיים קושי לעמוד בהחזר החודשי, מִחזור הכולל פריסה מחודשת של התשלומים והארכת תקופת ההחזר עשוי לאפשר את הקטנת ההחזר החודשי.</w:t>
      </w:r>
    </w:p>
    <w:p w:rsidR="003B010F" w:rsidRPr="003B010F" w:rsidRDefault="003B010F" w:rsidP="003B010F">
      <w:pPr>
        <w:bidi/>
        <w:spacing w:after="0" w:line="360" w:lineRule="auto"/>
        <w:jc w:val="both"/>
        <w:rPr>
          <w:rFonts w:asciiTheme="minorHAnsi" w:eastAsia="Times New Roman" w:hAnsiTheme="minorHAnsi" w:cstheme="minorHAnsi"/>
          <w:color w:val="000000" w:themeColor="text1"/>
          <w:rtl/>
        </w:rPr>
      </w:pPr>
      <w:r w:rsidRPr="003B010F">
        <w:rPr>
          <w:rFonts w:asciiTheme="minorHAnsi" w:eastAsia="Times New Roman" w:hAnsiTheme="minorHAnsi" w:cstheme="minorHAnsi"/>
          <w:color w:val="000000" w:themeColor="text1"/>
          <w:rtl/>
        </w:rPr>
        <w:lastRenderedPageBreak/>
        <w:t xml:space="preserve">כלומר, העלייה בהיקף המִחזורים עשויה לשקף, מצד אחד, שיקולים כלכליים של שיפור תנאי ההלוואה והתאמת תמהיל </w:t>
      </w:r>
      <w:proofErr w:type="spellStart"/>
      <w:r w:rsidRPr="003B010F">
        <w:rPr>
          <w:rFonts w:asciiTheme="minorHAnsi" w:eastAsia="Times New Roman" w:hAnsiTheme="minorHAnsi" w:cstheme="minorHAnsi"/>
          <w:color w:val="000000" w:themeColor="text1"/>
          <w:rtl/>
        </w:rPr>
        <w:t>המשכנתה</w:t>
      </w:r>
      <w:proofErr w:type="spellEnd"/>
      <w:r w:rsidRPr="003B010F">
        <w:rPr>
          <w:rFonts w:asciiTheme="minorHAnsi" w:eastAsia="Times New Roman" w:hAnsiTheme="minorHAnsi" w:cstheme="minorHAnsi"/>
          <w:color w:val="000000" w:themeColor="text1"/>
          <w:rtl/>
        </w:rPr>
        <w:t xml:space="preserve"> לשינויים בתנאי השוק ולציפיות לריבית, ומצד שני, חלק מן המִחזורים עשוי לשקף ניסיון להקטין את ההחזר החודשי באמצעות הארכת תקופת ההלוואה, גם במחיר של עלייה בעלות הכוללת שלה. </w:t>
      </w:r>
    </w:p>
    <w:p w:rsidR="003B010F" w:rsidRPr="003B010F" w:rsidRDefault="003B010F" w:rsidP="003B010F">
      <w:pPr>
        <w:pStyle w:val="ListParagraph"/>
        <w:numPr>
          <w:ilvl w:val="0"/>
          <w:numId w:val="7"/>
        </w:numPr>
        <w:bidi/>
        <w:spacing w:after="0" w:line="360" w:lineRule="auto"/>
        <w:jc w:val="both"/>
        <w:rPr>
          <w:rFonts w:asciiTheme="minorHAnsi" w:eastAsia="Calibri" w:hAnsiTheme="minorHAnsi" w:cstheme="minorHAnsi"/>
          <w:color w:val="4F81BD"/>
        </w:rPr>
      </w:pPr>
      <w:r w:rsidRPr="003B010F">
        <w:rPr>
          <w:rFonts w:asciiTheme="minorHAnsi" w:eastAsia="Calibri" w:hAnsiTheme="minorHAnsi" w:cstheme="minorHAnsi"/>
          <w:color w:val="4F81BD"/>
          <w:rtl/>
        </w:rPr>
        <w:t>זיהוי הסיבות ומאפייני המִחזורים</w:t>
      </w:r>
    </w:p>
    <w:p w:rsidR="003B010F" w:rsidRPr="003B010F" w:rsidRDefault="003B010F" w:rsidP="003B010F">
      <w:pPr>
        <w:bidi/>
        <w:spacing w:after="0" w:line="360" w:lineRule="auto"/>
        <w:jc w:val="both"/>
        <w:rPr>
          <w:rFonts w:asciiTheme="minorHAnsi" w:hAnsiTheme="minorHAnsi" w:cstheme="minorHAnsi"/>
          <w:color w:val="000000" w:themeColor="text1"/>
          <w:rtl/>
        </w:rPr>
      </w:pPr>
      <w:r w:rsidRPr="003B010F">
        <w:rPr>
          <w:rFonts w:asciiTheme="minorHAnsi" w:hAnsiTheme="minorHAnsi" w:cstheme="minorHAnsi"/>
          <w:color w:val="000000" w:themeColor="text1"/>
          <w:rtl/>
        </w:rPr>
        <w:t xml:space="preserve">לצורך זיהוי הסיבות לביצוע </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חזורי משכנתאות נעשה שימוש בנתוני מאגר נתוני האשראי, המאפשרים מעקב חודשי אחר מסלולי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לרבות פתיחה וסגירה של מסלולים ושינויים בתנאי ההלוואה. איור 1 מציג את גיל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הממוצע ואת היתרה לסילוק בעת ביצוע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 אפשר לראות כי </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 משכנתה נעשה בין ארבעים לחמישים חודשים בממוצע לאחר נטילת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 דבר התואם </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 בסמוך למועד עדכון העוגן בעבור מסלולים בריבית משתנה המתעדכנת כל שנתיים עד חמש שנים. בהקשר זה נציין כי במחצית השנייה של שנת 2020 ושנת 2021, שהייתה תקופת שיא בביצועי המשכנתאות, היו כעשרים אחוזים מהביצועים החדשים במסלול ריבית משתנה צמודה, לרוב עם עדכון עוגן בכל חמש שנים. כלומר, חלק ממסלולים אלו היו צפויים להגיע למועד עדכון עוגן במהלך שנת 2025 ולקראת שנת 2026 - נתון שיכול לתמוך בעלייה בכמות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חזורים במהלך השנה. </w:t>
      </w:r>
    </w:p>
    <w:p w:rsidR="003B010F" w:rsidRPr="003B010F" w:rsidRDefault="003B010F" w:rsidP="003B010F">
      <w:pPr>
        <w:bidi/>
        <w:spacing w:after="0" w:line="360" w:lineRule="auto"/>
        <w:jc w:val="both"/>
        <w:rPr>
          <w:rFonts w:asciiTheme="minorHAnsi" w:hAnsiTheme="minorHAnsi" w:cstheme="minorHAnsi"/>
          <w:color w:val="000000" w:themeColor="text1"/>
        </w:rPr>
      </w:pPr>
      <w:r w:rsidRPr="003B010F">
        <w:rPr>
          <w:rFonts w:asciiTheme="minorHAnsi" w:hAnsiTheme="minorHAnsi" w:cstheme="minorHAnsi"/>
          <w:noProof/>
          <w:color w:val="000000" w:themeColor="text1"/>
        </w:rPr>
        <w:drawing>
          <wp:inline distT="0" distB="0" distL="0" distR="0" wp14:anchorId="7563C87E" wp14:editId="100F7B38">
            <wp:extent cx="5248910" cy="3322320"/>
            <wp:effectExtent l="0" t="0" r="889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910" cy="3322320"/>
                    </a:xfrm>
                    <a:prstGeom prst="rect">
                      <a:avLst/>
                    </a:prstGeom>
                    <a:noFill/>
                  </pic:spPr>
                </pic:pic>
              </a:graphicData>
            </a:graphic>
          </wp:inline>
        </w:drawing>
      </w:r>
    </w:p>
    <w:p w:rsidR="003B010F" w:rsidRPr="003B010F" w:rsidRDefault="003B010F" w:rsidP="003B010F">
      <w:pPr>
        <w:pStyle w:val="whitespace-pre-wrap"/>
        <w:bidi/>
        <w:spacing w:before="0" w:beforeAutospacing="0" w:after="0" w:afterAutospacing="0" w:line="360" w:lineRule="auto"/>
        <w:jc w:val="both"/>
        <w:rPr>
          <w:rFonts w:asciiTheme="minorHAnsi" w:eastAsiaTheme="minorHAnsi" w:hAnsiTheme="minorHAnsi" w:cstheme="minorHAnsi"/>
          <w:color w:val="000000" w:themeColor="text1"/>
        </w:rPr>
      </w:pPr>
      <w:r w:rsidRPr="003B010F">
        <w:rPr>
          <w:rFonts w:asciiTheme="minorHAnsi" w:eastAsiaTheme="minorHAnsi" w:hAnsiTheme="minorHAnsi" w:cstheme="minorHAnsi"/>
          <w:color w:val="000000" w:themeColor="text1"/>
          <w:rtl/>
        </w:rPr>
        <w:t xml:space="preserve">איור 2 מציג את השינוי ביתרות המשכנתאות שעברו </w:t>
      </w:r>
      <w:r w:rsidRPr="003B010F">
        <w:rPr>
          <w:rFonts w:asciiTheme="minorHAnsi" w:hAnsiTheme="minorHAnsi" w:cstheme="minorHAnsi"/>
          <w:color w:val="000000" w:themeColor="text1"/>
          <w:rtl/>
        </w:rPr>
        <w:t>מִ</w:t>
      </w:r>
      <w:r w:rsidRPr="003B010F">
        <w:rPr>
          <w:rFonts w:asciiTheme="minorHAnsi" w:eastAsiaTheme="minorHAnsi" w:hAnsiTheme="minorHAnsi" w:cstheme="minorHAnsi"/>
          <w:color w:val="000000" w:themeColor="text1"/>
          <w:rtl/>
        </w:rPr>
        <w:t xml:space="preserve">חזור בכל רבעון, בחלוקה לסוגי מסלולים. לצורך כך חושב בכל רבעון סך ההלוואות שנפרעו בכל מסלול אל מול הלוואות חדשות שהועמדו במסגרת </w:t>
      </w:r>
      <w:r w:rsidRPr="003B010F">
        <w:rPr>
          <w:rFonts w:asciiTheme="minorHAnsi" w:hAnsiTheme="minorHAnsi" w:cstheme="minorHAnsi"/>
          <w:color w:val="000000" w:themeColor="text1"/>
          <w:rtl/>
        </w:rPr>
        <w:t>מִ</w:t>
      </w:r>
      <w:r w:rsidRPr="003B010F">
        <w:rPr>
          <w:rFonts w:asciiTheme="minorHAnsi" w:eastAsiaTheme="minorHAnsi" w:hAnsiTheme="minorHAnsi" w:cstheme="minorHAnsi"/>
          <w:color w:val="000000" w:themeColor="text1"/>
          <w:rtl/>
        </w:rPr>
        <w:t xml:space="preserve">חזור </w:t>
      </w:r>
      <w:proofErr w:type="spellStart"/>
      <w:r w:rsidRPr="003B010F">
        <w:rPr>
          <w:rFonts w:asciiTheme="minorHAnsi" w:eastAsiaTheme="minorHAnsi" w:hAnsiTheme="minorHAnsi" w:cstheme="minorHAnsi"/>
          <w:color w:val="000000" w:themeColor="text1"/>
          <w:rtl/>
        </w:rPr>
        <w:t>המשכנתה</w:t>
      </w:r>
      <w:proofErr w:type="spellEnd"/>
      <w:r w:rsidRPr="003B010F">
        <w:rPr>
          <w:rFonts w:asciiTheme="minorHAnsi" w:eastAsiaTheme="minorHAnsi" w:hAnsiTheme="minorHAnsi" w:cstheme="minorHAnsi"/>
          <w:color w:val="000000" w:themeColor="text1"/>
          <w:rtl/>
        </w:rPr>
        <w:t xml:space="preserve"> ונבחן השינוי נטו ביתרה של כל סוג מסלול. מן האיור עולה כי עיקר העלייה ב</w:t>
      </w:r>
      <w:r w:rsidRPr="003B010F">
        <w:rPr>
          <w:rFonts w:asciiTheme="minorHAnsi" w:hAnsiTheme="minorHAnsi" w:cstheme="minorHAnsi"/>
          <w:color w:val="000000" w:themeColor="text1"/>
          <w:rtl/>
        </w:rPr>
        <w:t>מִ</w:t>
      </w:r>
      <w:r w:rsidRPr="003B010F">
        <w:rPr>
          <w:rFonts w:asciiTheme="minorHAnsi" w:eastAsiaTheme="minorHAnsi" w:hAnsiTheme="minorHAnsi" w:cstheme="minorHAnsi"/>
          <w:color w:val="000000" w:themeColor="text1"/>
          <w:rtl/>
        </w:rPr>
        <w:t xml:space="preserve">חזורים בשנתיים האחרונות נבע ממעברים ממסלול הפריים וממסלולים צמודים למסלול ריבית משתנה </w:t>
      </w:r>
      <w:proofErr w:type="spellStart"/>
      <w:r w:rsidRPr="003B010F">
        <w:rPr>
          <w:rFonts w:asciiTheme="minorHAnsi" w:eastAsiaTheme="minorHAnsi" w:hAnsiTheme="minorHAnsi" w:cstheme="minorHAnsi"/>
          <w:color w:val="000000" w:themeColor="text1"/>
          <w:rtl/>
        </w:rPr>
        <w:t>לא־צמודה</w:t>
      </w:r>
      <w:proofErr w:type="spellEnd"/>
      <w:r w:rsidRPr="003B010F">
        <w:rPr>
          <w:rFonts w:asciiTheme="minorHAnsi" w:eastAsiaTheme="minorHAnsi" w:hAnsiTheme="minorHAnsi" w:cstheme="minorHAnsi"/>
          <w:color w:val="000000" w:themeColor="text1"/>
          <w:rtl/>
        </w:rPr>
        <w:t xml:space="preserve">. מגמה זו תואמת את השינויים שנרשמו גם בהתפלגות ביצועי המשכנתאות החדשות, עם ירידה חדה במשקל מסלול הפריים והמסלול בריבית </w:t>
      </w:r>
      <w:proofErr w:type="spellStart"/>
      <w:r w:rsidRPr="003B010F">
        <w:rPr>
          <w:rFonts w:asciiTheme="minorHAnsi" w:eastAsiaTheme="minorHAnsi" w:hAnsiTheme="minorHAnsi" w:cstheme="minorHAnsi"/>
          <w:color w:val="000000" w:themeColor="text1"/>
          <w:rtl/>
        </w:rPr>
        <w:t>משתנה־צמודה</w:t>
      </w:r>
      <w:proofErr w:type="spellEnd"/>
      <w:r w:rsidRPr="003B010F">
        <w:rPr>
          <w:rFonts w:asciiTheme="minorHAnsi" w:eastAsiaTheme="minorHAnsi" w:hAnsiTheme="minorHAnsi" w:cstheme="minorHAnsi"/>
          <w:color w:val="000000" w:themeColor="text1"/>
          <w:rtl/>
        </w:rPr>
        <w:t xml:space="preserve">, לצד עלייה חדה במסלול המשתנה </w:t>
      </w:r>
      <w:proofErr w:type="spellStart"/>
      <w:r w:rsidRPr="003B010F">
        <w:rPr>
          <w:rFonts w:asciiTheme="minorHAnsi" w:eastAsiaTheme="minorHAnsi" w:hAnsiTheme="minorHAnsi" w:cstheme="minorHAnsi"/>
          <w:color w:val="000000" w:themeColor="text1"/>
          <w:rtl/>
        </w:rPr>
        <w:t>הלא־צמודה</w:t>
      </w:r>
      <w:proofErr w:type="spellEnd"/>
      <w:r w:rsidRPr="003B010F">
        <w:rPr>
          <w:rFonts w:asciiTheme="minorHAnsi" w:eastAsiaTheme="minorHAnsi" w:hAnsiTheme="minorHAnsi" w:cstheme="minorHAnsi"/>
          <w:color w:val="000000" w:themeColor="text1"/>
          <w:rtl/>
        </w:rPr>
        <w:t xml:space="preserve"> עם עדכון עוגן בכל שנה עד שנתיים (איור ד-10 בפרק). נוסף על כך, העלייה </w:t>
      </w:r>
      <w:r w:rsidRPr="003B010F">
        <w:rPr>
          <w:rFonts w:asciiTheme="minorHAnsi" w:eastAsiaTheme="minorHAnsi" w:hAnsiTheme="minorHAnsi" w:cstheme="minorHAnsi"/>
          <w:color w:val="000000" w:themeColor="text1"/>
          <w:rtl/>
        </w:rPr>
        <w:lastRenderedPageBreak/>
        <w:t>ב</w:t>
      </w:r>
      <w:r w:rsidRPr="003B010F">
        <w:rPr>
          <w:rFonts w:asciiTheme="minorHAnsi" w:hAnsiTheme="minorHAnsi" w:cstheme="minorHAnsi"/>
          <w:color w:val="000000" w:themeColor="text1"/>
          <w:rtl/>
        </w:rPr>
        <w:t>מִ</w:t>
      </w:r>
      <w:r w:rsidRPr="003B010F">
        <w:rPr>
          <w:rFonts w:asciiTheme="minorHAnsi" w:eastAsiaTheme="minorHAnsi" w:hAnsiTheme="minorHAnsi" w:cstheme="minorHAnsi"/>
          <w:color w:val="000000" w:themeColor="text1"/>
          <w:rtl/>
        </w:rPr>
        <w:t xml:space="preserve">חזור של מסלולים בריבית </w:t>
      </w:r>
      <w:proofErr w:type="spellStart"/>
      <w:r w:rsidRPr="003B010F">
        <w:rPr>
          <w:rFonts w:asciiTheme="minorHAnsi" w:eastAsiaTheme="minorHAnsi" w:hAnsiTheme="minorHAnsi" w:cstheme="minorHAnsi"/>
          <w:color w:val="000000" w:themeColor="text1"/>
          <w:rtl/>
        </w:rPr>
        <w:t>משתנה־צמודה</w:t>
      </w:r>
      <w:proofErr w:type="spellEnd"/>
      <w:r w:rsidRPr="003B010F">
        <w:rPr>
          <w:rFonts w:asciiTheme="minorHAnsi" w:eastAsiaTheme="minorHAnsi" w:hAnsiTheme="minorHAnsi" w:cstheme="minorHAnsi"/>
          <w:color w:val="000000" w:themeColor="text1"/>
          <w:rtl/>
        </w:rPr>
        <w:t xml:space="preserve"> במהלך שנת 2025 תואמת את מועד עדכון העוגן של מסלולים אלה, שנלקחו במהלך שנת 2021.</w:t>
      </w:r>
    </w:p>
    <w:p w:rsidR="003B010F" w:rsidRPr="003B010F" w:rsidRDefault="003B010F" w:rsidP="003B010F">
      <w:pPr>
        <w:pStyle w:val="whitespace-pre-wrap"/>
        <w:bidi/>
        <w:spacing w:before="0" w:beforeAutospacing="0" w:after="0" w:afterAutospacing="0" w:line="360" w:lineRule="auto"/>
        <w:jc w:val="both"/>
        <w:rPr>
          <w:rFonts w:asciiTheme="minorHAnsi" w:hAnsiTheme="minorHAnsi" w:cstheme="minorHAnsi"/>
          <w:color w:val="000000" w:themeColor="text1"/>
          <w:rtl/>
        </w:rPr>
      </w:pPr>
      <w:r w:rsidRPr="003B010F">
        <w:rPr>
          <w:rFonts w:asciiTheme="minorHAnsi" w:hAnsiTheme="minorHAnsi" w:cstheme="minorHAnsi"/>
          <w:noProof/>
          <w:color w:val="000000" w:themeColor="text1"/>
        </w:rPr>
        <w:drawing>
          <wp:inline distT="0" distB="0" distL="0" distR="0" wp14:anchorId="3CF6C71F" wp14:editId="6241B771">
            <wp:extent cx="5243195" cy="332232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195" cy="3322320"/>
                    </a:xfrm>
                    <a:prstGeom prst="rect">
                      <a:avLst/>
                    </a:prstGeom>
                    <a:noFill/>
                  </pic:spPr>
                </pic:pic>
              </a:graphicData>
            </a:graphic>
          </wp:inline>
        </w:drawing>
      </w:r>
    </w:p>
    <w:p w:rsidR="003B010F" w:rsidRPr="003B010F" w:rsidRDefault="003B010F" w:rsidP="003B010F">
      <w:pPr>
        <w:bidi/>
        <w:spacing w:after="0" w:line="360" w:lineRule="auto"/>
        <w:jc w:val="both"/>
        <w:rPr>
          <w:rFonts w:asciiTheme="minorHAnsi" w:hAnsiTheme="minorHAnsi" w:cstheme="minorHAnsi"/>
          <w:color w:val="000000" w:themeColor="text1"/>
          <w:rtl/>
        </w:rPr>
      </w:pPr>
      <w:r w:rsidRPr="003B010F">
        <w:rPr>
          <w:rFonts w:asciiTheme="minorHAnsi" w:hAnsiTheme="minorHAnsi" w:cstheme="minorHAnsi"/>
          <w:color w:val="000000" w:themeColor="text1"/>
          <w:rtl/>
        </w:rPr>
        <w:t xml:space="preserve">כאמור, </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 משכנתה יכול להתבצע הן מטעמי תועלת כלכלית, לצורך התאמת תנאי ההלוואה לשינויים בתנאי השוק, הן על רקע שיקול תזרימי, במטרה להקטין את ההחזר החודשי בגלל אילוץ כלכלי. כאשר הסיבה המרכזית ל</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 היא רצון להקטין את התשלום החודשי יבקש הלקוח לרוב להקטין את התשלום החודשי באמצעות פריסת ההלוואה לתקופה ארוכה יותר, גם אם הדבר כרוך בעלייה בעלות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כדי לזהות מקרים מסוג זה בחנו איזה שיעור מהמשכנתאות שמוחזרו כלל גם הארכה של תקופת ההחזר וגם עלייה בריבית הכוללת החזויה על ההלוואה</w:t>
      </w:r>
      <w:r w:rsidRPr="003B010F">
        <w:rPr>
          <w:rStyle w:val="FootnoteReference"/>
          <w:rFonts w:asciiTheme="minorHAnsi" w:hAnsiTheme="minorHAnsi" w:cstheme="minorHAnsi"/>
          <w:color w:val="000000" w:themeColor="text1"/>
          <w:rtl/>
        </w:rPr>
        <w:footnoteReference w:id="1"/>
      </w:r>
      <w:r w:rsidRPr="003B010F">
        <w:rPr>
          <w:rFonts w:asciiTheme="minorHAnsi" w:hAnsiTheme="minorHAnsi" w:cstheme="minorHAnsi"/>
          <w:color w:val="000000" w:themeColor="text1"/>
          <w:rtl/>
        </w:rPr>
        <w:t xml:space="preserve"> - כלומר מקרים שבהם עלות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התייקרה לאחר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w:t>
      </w:r>
    </w:p>
    <w:p w:rsidR="003B010F" w:rsidRPr="003B010F" w:rsidRDefault="003B010F" w:rsidP="003B010F">
      <w:pPr>
        <w:bidi/>
        <w:spacing w:after="0" w:line="360" w:lineRule="auto"/>
        <w:jc w:val="both"/>
        <w:rPr>
          <w:rFonts w:asciiTheme="minorHAnsi" w:hAnsiTheme="minorHAnsi" w:cstheme="minorHAnsi"/>
          <w:noProof/>
          <w:color w:val="000000" w:themeColor="text1"/>
          <w:rtl/>
        </w:rPr>
      </w:pPr>
      <w:r w:rsidRPr="003B010F">
        <w:rPr>
          <w:rFonts w:asciiTheme="minorHAnsi" w:hAnsiTheme="minorHAnsi" w:cstheme="minorHAnsi"/>
          <w:color w:val="000000" w:themeColor="text1"/>
          <w:rtl/>
        </w:rPr>
        <w:t xml:space="preserve">איור 3 מציג את מספר </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חזורי המשכנתאות שזוהו בכל חודש במאגר נתוני האשראי, לצד שיעור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 xml:space="preserve">חזורים שבהם הוארכה תקופת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וחלה עלייה בעלות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בעקבות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 מן האיור עולה כי למעט תקופות של עליות ריבית, שבהן נרשמה ירידה כללית במספר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חזורים, לאורך מרבית התקופה נותר יציב יחסית שיעור ה</w:t>
      </w:r>
      <w:r w:rsidRPr="003B010F">
        <w:rPr>
          <w:rFonts w:asciiTheme="minorHAnsi" w:eastAsia="Times New Roman" w:hAnsiTheme="minorHAnsi" w:cstheme="minorHAnsi"/>
          <w:color w:val="000000" w:themeColor="text1"/>
          <w:rtl/>
        </w:rPr>
        <w:t>מִ</w:t>
      </w:r>
      <w:r w:rsidRPr="003B010F">
        <w:rPr>
          <w:rFonts w:asciiTheme="minorHAnsi" w:hAnsiTheme="minorHAnsi" w:cstheme="minorHAnsi"/>
          <w:color w:val="000000" w:themeColor="text1"/>
          <w:rtl/>
        </w:rPr>
        <w:t>חזורים שבוצעו עם הארכת תקופה והתייקרות של הריבית הכוללת החזויה, ועמד על כ-15 אחוזים.</w:t>
      </w:r>
      <w:r w:rsidRPr="003B010F">
        <w:rPr>
          <w:rFonts w:asciiTheme="minorHAnsi" w:hAnsiTheme="minorHAnsi" w:cstheme="minorHAnsi"/>
          <w:noProof/>
          <w:color w:val="000000" w:themeColor="text1"/>
          <w:rtl/>
        </w:rPr>
        <w:t xml:space="preserve"> </w:t>
      </w:r>
    </w:p>
    <w:p w:rsidR="003B010F" w:rsidRDefault="003B010F" w:rsidP="003B010F">
      <w:pPr>
        <w:bidi/>
        <w:spacing w:after="0" w:line="360" w:lineRule="auto"/>
        <w:jc w:val="both"/>
        <w:rPr>
          <w:rFonts w:asciiTheme="minorHAnsi" w:hAnsiTheme="minorHAnsi" w:cstheme="minorHAnsi"/>
          <w:color w:val="000000" w:themeColor="text1"/>
          <w:rtl/>
        </w:rPr>
      </w:pPr>
      <w:r w:rsidRPr="003B010F">
        <w:rPr>
          <w:rFonts w:asciiTheme="minorHAnsi" w:hAnsiTheme="minorHAnsi" w:cstheme="minorHAnsi"/>
          <w:noProof/>
          <w:color w:val="000000" w:themeColor="text1"/>
        </w:rPr>
        <w:lastRenderedPageBreak/>
        <w:drawing>
          <wp:inline distT="0" distB="0" distL="0" distR="0" wp14:anchorId="0E275953" wp14:editId="169A6E84">
            <wp:extent cx="5243195" cy="3316605"/>
            <wp:effectExtent l="0" t="0" r="0" b="0"/>
            <wp:docPr id="3"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6605"/>
                    </a:xfrm>
                    <a:prstGeom prst="rect">
                      <a:avLst/>
                    </a:prstGeom>
                    <a:noFill/>
                  </pic:spPr>
                </pic:pic>
              </a:graphicData>
            </a:graphic>
          </wp:inline>
        </w:drawing>
      </w:r>
    </w:p>
    <w:p w:rsidR="003B010F" w:rsidRPr="003B010F" w:rsidRDefault="003B010F" w:rsidP="003B010F">
      <w:pPr>
        <w:bidi/>
        <w:spacing w:after="0" w:line="360" w:lineRule="auto"/>
        <w:jc w:val="both"/>
        <w:rPr>
          <w:rFonts w:asciiTheme="minorHAnsi" w:hAnsiTheme="minorHAnsi" w:cstheme="minorHAnsi"/>
          <w:color w:val="000000" w:themeColor="text1"/>
          <w:rtl/>
        </w:rPr>
      </w:pPr>
    </w:p>
    <w:p w:rsidR="003B010F" w:rsidRPr="003B010F" w:rsidRDefault="003B010F" w:rsidP="003B010F">
      <w:pPr>
        <w:pStyle w:val="whitespace-pre-wrap"/>
        <w:numPr>
          <w:ilvl w:val="0"/>
          <w:numId w:val="7"/>
        </w:numPr>
        <w:bidi/>
        <w:spacing w:before="0" w:beforeAutospacing="0" w:after="0" w:afterAutospacing="0" w:line="360" w:lineRule="auto"/>
        <w:jc w:val="both"/>
        <w:rPr>
          <w:rFonts w:asciiTheme="minorHAnsi" w:eastAsia="Calibri" w:hAnsiTheme="minorHAnsi" w:cstheme="minorHAnsi"/>
          <w:color w:val="4F81BD"/>
          <w:rtl/>
        </w:rPr>
      </w:pPr>
      <w:r w:rsidRPr="003B010F">
        <w:rPr>
          <w:rFonts w:asciiTheme="minorHAnsi" w:eastAsia="Calibri" w:hAnsiTheme="minorHAnsi" w:cstheme="minorHAnsi"/>
          <w:color w:val="4F81BD"/>
          <w:rtl/>
        </w:rPr>
        <w:t>הבדלים במאפייני הלקוחות</w:t>
      </w:r>
    </w:p>
    <w:p w:rsidR="003B010F" w:rsidRPr="003B010F" w:rsidRDefault="003B010F" w:rsidP="003B010F">
      <w:pPr>
        <w:pStyle w:val="whitespace-pre-wrap"/>
        <w:bidi/>
        <w:spacing w:before="0" w:beforeAutospacing="0" w:after="0" w:afterAutospacing="0" w:line="360" w:lineRule="auto"/>
        <w:jc w:val="both"/>
        <w:rPr>
          <w:rFonts w:asciiTheme="minorHAnsi" w:hAnsiTheme="minorHAnsi" w:cstheme="minorHAnsi"/>
          <w:color w:val="000000" w:themeColor="text1"/>
          <w:rtl/>
        </w:rPr>
      </w:pPr>
      <w:r w:rsidRPr="003B010F">
        <w:rPr>
          <w:rFonts w:asciiTheme="minorHAnsi" w:hAnsiTheme="minorHAnsi" w:cstheme="minorHAnsi"/>
          <w:color w:val="000000" w:themeColor="text1"/>
          <w:rtl/>
        </w:rPr>
        <w:t>עד כה העלה הניתוח כי מִחזור משכנתה נעשה ברוב המקרים מסיבות של תועלת כלכלית ולא בשל קושי בעמידה בהחזרים. בחלק זה נבחן גם את מאפייני הלקוחות שביצעו מִחזורים מול שתי קבוצות השוואה: בעלי משכנתאות שלא ביצעו מִחזור או דחיית תשלומים, ולקוחות שביצעו דחיית תשלומים של שלושה חודשים לפחות</w:t>
      </w:r>
      <w:r w:rsidRPr="003B010F">
        <w:rPr>
          <w:rStyle w:val="FootnoteReference"/>
          <w:rFonts w:asciiTheme="minorHAnsi" w:hAnsiTheme="minorHAnsi" w:cstheme="minorHAnsi"/>
          <w:color w:val="000000" w:themeColor="text1"/>
          <w:rtl/>
        </w:rPr>
        <w:footnoteReference w:id="2"/>
      </w:r>
      <w:r w:rsidRPr="003B010F">
        <w:rPr>
          <w:rFonts w:asciiTheme="minorHAnsi" w:hAnsiTheme="minorHAnsi" w:cstheme="minorHAnsi"/>
          <w:color w:val="000000" w:themeColor="text1"/>
          <w:rtl/>
        </w:rPr>
        <w:t>. איור 4 בוחן את ההבדלים במאפייני האשראי של שלוש הקבוצות לאורך זמן. מן האיור עולה בבירור כי בעלי משכנתאות שביצעו דחיית תשלומים נוטים להיות בעלי פרופיל סיכון גבוה יותר משתי הקבוצות האחרות. הדבר בא לידי ביטוי בשיעורי פיגורים גבוהים יותר</w:t>
      </w:r>
      <w:r w:rsidRPr="003B010F">
        <w:rPr>
          <w:rStyle w:val="FootnoteReference"/>
          <w:rFonts w:asciiTheme="minorHAnsi" w:hAnsiTheme="minorHAnsi" w:cstheme="minorHAnsi"/>
          <w:color w:val="000000" w:themeColor="text1"/>
          <w:rtl/>
        </w:rPr>
        <w:footnoteReference w:id="3"/>
      </w:r>
      <w:r w:rsidRPr="003B010F">
        <w:rPr>
          <w:rFonts w:asciiTheme="minorHAnsi" w:hAnsiTheme="minorHAnsi" w:cstheme="minorHAnsi"/>
          <w:color w:val="000000" w:themeColor="text1"/>
          <w:rtl/>
        </w:rPr>
        <w:t xml:space="preserve">, בשכיחות גבוהה יותר של משיכת יתר בחשבון </w:t>
      </w:r>
      <w:proofErr w:type="spellStart"/>
      <w:r w:rsidRPr="003B010F">
        <w:rPr>
          <w:rFonts w:asciiTheme="minorHAnsi" w:hAnsiTheme="minorHAnsi" w:cstheme="minorHAnsi"/>
          <w:color w:val="000000" w:themeColor="text1"/>
          <w:rtl/>
        </w:rPr>
        <w:t>העובר־ושב</w:t>
      </w:r>
      <w:proofErr w:type="spellEnd"/>
      <w:r w:rsidRPr="003B010F">
        <w:rPr>
          <w:rFonts w:asciiTheme="minorHAnsi" w:hAnsiTheme="minorHAnsi" w:cstheme="minorHAnsi"/>
          <w:color w:val="000000" w:themeColor="text1"/>
          <w:rtl/>
        </w:rPr>
        <w:t xml:space="preserve">, בהיקף גבוה יותר של הלוואות צרכניות נוספות מעבר </w:t>
      </w:r>
      <w:proofErr w:type="spellStart"/>
      <w:r w:rsidRPr="003B010F">
        <w:rPr>
          <w:rFonts w:asciiTheme="minorHAnsi" w:hAnsiTheme="minorHAnsi" w:cstheme="minorHAnsi"/>
          <w:color w:val="000000" w:themeColor="text1"/>
          <w:rtl/>
        </w:rPr>
        <w:t>למשכנתה</w:t>
      </w:r>
      <w:proofErr w:type="spellEnd"/>
      <w:r w:rsidRPr="003B010F">
        <w:rPr>
          <w:rFonts w:asciiTheme="minorHAnsi" w:hAnsiTheme="minorHAnsi" w:cstheme="minorHAnsi"/>
          <w:color w:val="000000" w:themeColor="text1"/>
          <w:rtl/>
        </w:rPr>
        <w:t xml:space="preserve"> ובשימוש בהלוואות על חשבון מסגרת כרטיסי אשראי</w:t>
      </w:r>
      <w:r w:rsidRPr="003B010F">
        <w:rPr>
          <w:rStyle w:val="FootnoteReference"/>
          <w:rFonts w:asciiTheme="minorHAnsi" w:hAnsiTheme="minorHAnsi" w:cstheme="minorHAnsi"/>
          <w:color w:val="000000" w:themeColor="text1"/>
          <w:rtl/>
        </w:rPr>
        <w:footnoteReference w:id="4"/>
      </w:r>
      <w:r w:rsidRPr="003B010F">
        <w:rPr>
          <w:rFonts w:asciiTheme="minorHAnsi" w:hAnsiTheme="minorHAnsi" w:cstheme="minorHAnsi"/>
          <w:color w:val="000000" w:themeColor="text1"/>
        </w:rPr>
        <w:t>.</w:t>
      </w:r>
    </w:p>
    <w:p w:rsidR="003B010F" w:rsidRPr="003B010F" w:rsidRDefault="003B010F" w:rsidP="003B010F">
      <w:pPr>
        <w:pStyle w:val="whitespace-pre-wrap"/>
        <w:bidi/>
        <w:spacing w:before="120" w:beforeAutospacing="0" w:after="120" w:afterAutospacing="0" w:line="360" w:lineRule="auto"/>
        <w:jc w:val="both"/>
        <w:rPr>
          <w:rFonts w:asciiTheme="minorHAnsi" w:hAnsiTheme="minorHAnsi" w:cstheme="minorHAnsi"/>
          <w:color w:val="000000" w:themeColor="text1"/>
          <w:rtl/>
        </w:rPr>
      </w:pPr>
      <w:r w:rsidRPr="003B010F">
        <w:rPr>
          <w:rFonts w:asciiTheme="minorHAnsi" w:hAnsiTheme="minorHAnsi" w:cstheme="minorHAnsi"/>
          <w:color w:val="000000" w:themeColor="text1"/>
          <w:rtl/>
        </w:rPr>
        <w:t xml:space="preserve">לסיכום, נראה שהעלייה במִחזורי המשכנתאות בשנים האחרונות נובעת בעיקר משיקולי תועלת כלכלית, הקשורים למימוש אפשרויות הטמונות בהסכם ההלוואה המקורי ובפרט עדכון תנאי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עבור מסלולים בריבית משתנה בהתאם לתנאי השוק. </w:t>
      </w:r>
      <w:proofErr w:type="spellStart"/>
      <w:r w:rsidRPr="003B010F">
        <w:rPr>
          <w:rFonts w:asciiTheme="minorHAnsi" w:hAnsiTheme="minorHAnsi" w:cstheme="minorHAnsi"/>
          <w:color w:val="000000" w:themeColor="text1"/>
          <w:rtl/>
        </w:rPr>
        <w:t>עם־זאת</w:t>
      </w:r>
      <w:proofErr w:type="spellEnd"/>
      <w:r w:rsidRPr="003B010F">
        <w:rPr>
          <w:rFonts w:asciiTheme="minorHAnsi" w:hAnsiTheme="minorHAnsi" w:cstheme="minorHAnsi"/>
          <w:color w:val="000000" w:themeColor="text1"/>
          <w:rtl/>
        </w:rPr>
        <w:t xml:space="preserve">, כ-15 אחוזים מן המִחזורים נבעו מרצון בהקלה </w:t>
      </w:r>
      <w:proofErr w:type="spellStart"/>
      <w:r w:rsidRPr="003B010F">
        <w:rPr>
          <w:rFonts w:asciiTheme="minorHAnsi" w:hAnsiTheme="minorHAnsi" w:cstheme="minorHAnsi"/>
          <w:color w:val="000000" w:themeColor="text1"/>
          <w:rtl/>
        </w:rPr>
        <w:t>תזרימית</w:t>
      </w:r>
      <w:proofErr w:type="spellEnd"/>
      <w:r w:rsidRPr="003B010F">
        <w:rPr>
          <w:rFonts w:asciiTheme="minorHAnsi" w:hAnsiTheme="minorHAnsi" w:cstheme="minorHAnsi"/>
          <w:color w:val="000000" w:themeColor="text1"/>
          <w:rtl/>
        </w:rPr>
        <w:t xml:space="preserve">. במכלול הממצאים עולה כי העלייה בהיקפי המִחזורים של </w:t>
      </w:r>
      <w:proofErr w:type="spellStart"/>
      <w:r w:rsidRPr="003B010F">
        <w:rPr>
          <w:rFonts w:asciiTheme="minorHAnsi" w:hAnsiTheme="minorHAnsi" w:cstheme="minorHAnsi"/>
          <w:color w:val="000000" w:themeColor="text1"/>
          <w:rtl/>
        </w:rPr>
        <w:t>המשכנתה</w:t>
      </w:r>
      <w:proofErr w:type="spellEnd"/>
      <w:r w:rsidRPr="003B010F">
        <w:rPr>
          <w:rFonts w:asciiTheme="minorHAnsi" w:hAnsiTheme="minorHAnsi" w:cstheme="minorHAnsi"/>
          <w:color w:val="000000" w:themeColor="text1"/>
          <w:rtl/>
        </w:rPr>
        <w:t xml:space="preserve"> אינה מעידה על עלייה נרחבת במצוקה פיננסית המחייבת מִחזור לצורך עמידה בהחזרים.</w:t>
      </w:r>
    </w:p>
    <w:p w:rsidR="003B010F" w:rsidRPr="003B010F" w:rsidRDefault="003B010F" w:rsidP="003B010F">
      <w:pPr>
        <w:pStyle w:val="whitespace-pre-wrap"/>
        <w:bidi/>
        <w:spacing w:before="120" w:beforeAutospacing="0" w:after="120" w:afterAutospacing="0" w:line="360" w:lineRule="auto"/>
        <w:jc w:val="both"/>
        <w:rPr>
          <w:rFonts w:asciiTheme="minorHAnsi" w:hAnsiTheme="minorHAnsi" w:cstheme="minorHAnsi"/>
          <w:color w:val="000000" w:themeColor="text1"/>
          <w:rtl/>
        </w:rPr>
      </w:pPr>
      <w:r w:rsidRPr="003B010F">
        <w:rPr>
          <w:rFonts w:asciiTheme="minorHAnsi" w:hAnsiTheme="minorHAnsi" w:cstheme="minorHAnsi"/>
          <w:noProof/>
          <w:color w:val="000000" w:themeColor="text1"/>
        </w:rPr>
        <w:lastRenderedPageBreak/>
        <w:drawing>
          <wp:inline distT="0" distB="0" distL="0" distR="0" wp14:anchorId="3D8E7B9F" wp14:editId="1E29490C">
            <wp:extent cx="5248910" cy="5815965"/>
            <wp:effectExtent l="0" t="0" r="889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5815965"/>
                    </a:xfrm>
                    <a:prstGeom prst="rect">
                      <a:avLst/>
                    </a:prstGeom>
                    <a:noFill/>
                  </pic:spPr>
                </pic:pic>
              </a:graphicData>
            </a:graphic>
          </wp:inline>
        </w:drawing>
      </w:r>
    </w:p>
    <w:p w:rsidR="003B010F" w:rsidRPr="003B010F" w:rsidRDefault="003B010F" w:rsidP="003B010F">
      <w:pPr>
        <w:bidi/>
        <w:spacing w:line="360" w:lineRule="auto"/>
        <w:rPr>
          <w:rFonts w:asciiTheme="minorHAnsi" w:hAnsiTheme="minorHAnsi" w:cstheme="minorHAnsi"/>
          <w:color w:val="000000" w:themeColor="text1"/>
          <w:rtl/>
        </w:rPr>
      </w:pPr>
    </w:p>
    <w:p w:rsidR="00B02A8E" w:rsidRPr="003B010F" w:rsidRDefault="00B02A8E" w:rsidP="003B010F">
      <w:pPr>
        <w:bidi/>
        <w:spacing w:line="360" w:lineRule="auto"/>
        <w:jc w:val="both"/>
        <w:rPr>
          <w:rFonts w:asciiTheme="minorHAnsi" w:hAnsiTheme="minorHAnsi" w:cstheme="minorHAnsi"/>
          <w:b/>
          <w:bCs/>
          <w:color w:val="000000" w:themeColor="text1"/>
        </w:rPr>
      </w:pPr>
    </w:p>
    <w:p w:rsidR="003E7478" w:rsidRPr="003B010F" w:rsidRDefault="003E7478" w:rsidP="003B010F">
      <w:pPr>
        <w:bidi/>
        <w:rPr>
          <w:rFonts w:asciiTheme="minorHAnsi" w:hAnsiTheme="minorHAnsi" w:cstheme="minorHAnsi"/>
          <w:color w:val="000000" w:themeColor="text1"/>
        </w:rPr>
      </w:pPr>
    </w:p>
    <w:sectPr w:rsidR="003E7478" w:rsidRPr="003B010F" w:rsidSect="00CC2499">
      <w:footerReference w:type="default" r:id="rId12"/>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3B010F" w:rsidRPr="004A39E4" w:rsidRDefault="003B010F" w:rsidP="003B010F">
      <w:pPr>
        <w:pStyle w:val="FootnoteText"/>
        <w:rPr>
          <w:rFonts w:cstheme="minorHAnsi"/>
          <w:rtl/>
        </w:rPr>
      </w:pPr>
      <w:r w:rsidRPr="004A39E4">
        <w:rPr>
          <w:rStyle w:val="FootnoteReference"/>
          <w:rFonts w:cstheme="minorHAnsi"/>
        </w:rPr>
        <w:footnoteRef/>
      </w:r>
      <w:r w:rsidRPr="004A39E4">
        <w:rPr>
          <w:rFonts w:cstheme="minorHAnsi"/>
          <w:rtl/>
        </w:rPr>
        <w:t xml:space="preserve"> חישוב של שיעור התשואה הפנימי (</w:t>
      </w:r>
      <w:r w:rsidRPr="004A39E4">
        <w:rPr>
          <w:rFonts w:cstheme="minorHAnsi"/>
        </w:rPr>
        <w:t>Internal Rate of Return</w:t>
      </w:r>
      <w:r w:rsidRPr="004A39E4">
        <w:rPr>
          <w:rFonts w:cstheme="minorHAnsi"/>
          <w:rtl/>
        </w:rPr>
        <w:t xml:space="preserve">) של </w:t>
      </w:r>
      <w:proofErr w:type="spellStart"/>
      <w:r w:rsidRPr="004A39E4">
        <w:rPr>
          <w:rFonts w:cstheme="minorHAnsi"/>
          <w:rtl/>
        </w:rPr>
        <w:t>המשכנתה</w:t>
      </w:r>
      <w:proofErr w:type="spellEnd"/>
      <w:r w:rsidRPr="004A39E4">
        <w:rPr>
          <w:rFonts w:cstheme="minorHAnsi"/>
          <w:rtl/>
        </w:rPr>
        <w:t xml:space="preserve"> בהתבסס על כלל התשלומים הצפויים </w:t>
      </w:r>
      <w:proofErr w:type="spellStart"/>
      <w:r w:rsidRPr="004A39E4">
        <w:rPr>
          <w:rFonts w:cstheme="minorHAnsi"/>
          <w:rtl/>
        </w:rPr>
        <w:t>במשכנתה</w:t>
      </w:r>
      <w:proofErr w:type="spellEnd"/>
      <w:r w:rsidRPr="004A39E4">
        <w:rPr>
          <w:rFonts w:cstheme="minorHAnsi"/>
          <w:rtl/>
        </w:rPr>
        <w:t>. לפירוט אופן החישוב ראו: "תוספת 4 – חישוב הריבית הכוללת החזויה (העלות הממשית</w:t>
      </w:r>
    </w:p>
    <w:p w:rsidR="003B010F" w:rsidRPr="00455887" w:rsidRDefault="003B010F" w:rsidP="003B010F">
      <w:pPr>
        <w:pStyle w:val="FootnoteText"/>
        <w:rPr>
          <w:rFonts w:cstheme="minorHAnsi"/>
          <w:rtl/>
        </w:rPr>
      </w:pPr>
      <w:r w:rsidRPr="004A39E4">
        <w:rPr>
          <w:rFonts w:cstheme="minorHAnsi"/>
          <w:rtl/>
        </w:rPr>
        <w:t xml:space="preserve">של האשראי)", </w:t>
      </w:r>
      <w:hyperlink r:id="rId1" w:history="1">
        <w:r w:rsidRPr="004A39E4">
          <w:rPr>
            <w:rStyle w:val="Hyperlink"/>
            <w:rFonts w:cstheme="minorHAnsi"/>
            <w:rtl/>
          </w:rPr>
          <w:t>נהלים למתן הלוואות לדיור (הוראה 451)</w:t>
        </w:r>
      </w:hyperlink>
      <w:r w:rsidRPr="004A39E4">
        <w:rPr>
          <w:rFonts w:cstheme="minorHAnsi"/>
          <w:rtl/>
        </w:rPr>
        <w:t xml:space="preserve"> של הפיקוח על הבנקים.</w:t>
      </w:r>
    </w:p>
  </w:footnote>
  <w:footnote w:id="2">
    <w:p w:rsidR="003B010F" w:rsidRPr="003F08A5" w:rsidRDefault="003B010F" w:rsidP="003B010F">
      <w:pPr>
        <w:pStyle w:val="FootnoteText"/>
        <w:jc w:val="both"/>
        <w:rPr>
          <w:rFonts w:cstheme="minorHAnsi"/>
          <w:rtl/>
        </w:rPr>
      </w:pPr>
      <w:r w:rsidRPr="003F08A5">
        <w:rPr>
          <w:rStyle w:val="FootnoteReference"/>
          <w:rFonts w:cstheme="minorHAnsi"/>
        </w:rPr>
        <w:footnoteRef/>
      </w:r>
      <w:r w:rsidRPr="003F08A5">
        <w:rPr>
          <w:rFonts w:cstheme="minorHAnsi"/>
          <w:rtl/>
        </w:rPr>
        <w:t xml:space="preserve"> </w:t>
      </w:r>
      <w:r w:rsidRPr="003F08A5">
        <w:rPr>
          <w:rFonts w:cstheme="minorHAnsi"/>
          <w:rtl/>
        </w:rPr>
        <w:t xml:space="preserve">דחיית תשלומי משכנתה יכולה להתאפשר לעיתים ללא שיקול דעת של הבנק, כחלק ממתווה סיוע ללקוחות בתקופות משבר, כגון בתקופת הקורונה ובתקופת המלחמה. </w:t>
      </w:r>
      <w:proofErr w:type="spellStart"/>
      <w:r w:rsidRPr="003F08A5">
        <w:rPr>
          <w:rFonts w:cstheme="minorHAnsi"/>
          <w:rtl/>
        </w:rPr>
        <w:t>עם־זאת</w:t>
      </w:r>
      <w:proofErr w:type="spellEnd"/>
      <w:r w:rsidRPr="003F08A5">
        <w:rPr>
          <w:rFonts w:cstheme="minorHAnsi"/>
          <w:rtl/>
        </w:rPr>
        <w:t>, דחיית תשלומים יכולה להתבצע גם באופן שוטף באמצעות הגשת בקשה לבנק, לרוב מסיבות אישיות כגון סיום העסקה, חופשת לידה, מחלה או קושי כלכלי.</w:t>
      </w:r>
    </w:p>
  </w:footnote>
  <w:footnote w:id="3">
    <w:p w:rsidR="003B010F" w:rsidRPr="003F08A5" w:rsidRDefault="003B010F" w:rsidP="003B010F">
      <w:pPr>
        <w:pStyle w:val="FootnoteText"/>
        <w:jc w:val="both"/>
        <w:rPr>
          <w:rFonts w:cstheme="minorHAnsi"/>
        </w:rPr>
      </w:pPr>
      <w:r w:rsidRPr="003F08A5">
        <w:rPr>
          <w:rStyle w:val="FootnoteReference"/>
          <w:rFonts w:cstheme="minorHAnsi"/>
        </w:rPr>
        <w:footnoteRef/>
      </w:r>
      <w:r w:rsidRPr="003F08A5">
        <w:rPr>
          <w:rFonts w:cstheme="minorHAnsi"/>
          <w:rtl/>
        </w:rPr>
        <w:t xml:space="preserve"> </w:t>
      </w:r>
      <w:r w:rsidRPr="003F08A5">
        <w:rPr>
          <w:rFonts w:cstheme="minorHAnsi"/>
          <w:rtl/>
        </w:rPr>
        <w:t xml:space="preserve">"שיעור לקוחות עם פיגור" מוגדר כמצב שבו לאחד או יותר מהלקוחות החייבים </w:t>
      </w:r>
      <w:proofErr w:type="spellStart"/>
      <w:r w:rsidRPr="003F08A5">
        <w:rPr>
          <w:rFonts w:cstheme="minorHAnsi"/>
          <w:rtl/>
        </w:rPr>
        <w:t>במשכנתה</w:t>
      </w:r>
      <w:proofErr w:type="spellEnd"/>
      <w:r w:rsidRPr="003F08A5">
        <w:rPr>
          <w:rFonts w:cstheme="minorHAnsi"/>
          <w:rtl/>
        </w:rPr>
        <w:t xml:space="preserve"> יש לפחות עסקת אשראי כלשהי במאגר האשראי (לא בהכרח </w:t>
      </w:r>
      <w:proofErr w:type="spellStart"/>
      <w:r w:rsidRPr="003F08A5">
        <w:rPr>
          <w:rFonts w:cstheme="minorHAnsi"/>
          <w:rtl/>
        </w:rPr>
        <w:t>המשכנתה</w:t>
      </w:r>
      <w:proofErr w:type="spellEnd"/>
      <w:r w:rsidRPr="003F08A5">
        <w:rPr>
          <w:rFonts w:cstheme="minorHAnsi"/>
          <w:rtl/>
        </w:rPr>
        <w:t xml:space="preserve"> עצמה) שנמצאת בפיגור תשלומים של מעל 30 יום.</w:t>
      </w:r>
    </w:p>
  </w:footnote>
  <w:footnote w:id="4">
    <w:p w:rsidR="003B010F" w:rsidRDefault="003B010F" w:rsidP="003B010F">
      <w:pPr>
        <w:pStyle w:val="FootnoteText"/>
        <w:jc w:val="both"/>
        <w:rPr>
          <w:rtl/>
        </w:rPr>
      </w:pPr>
      <w:r w:rsidRPr="003F08A5">
        <w:rPr>
          <w:rStyle w:val="FootnoteReference"/>
          <w:rFonts w:cstheme="minorHAnsi"/>
        </w:rPr>
        <w:footnoteRef/>
      </w:r>
      <w:r w:rsidRPr="003F08A5">
        <w:rPr>
          <w:rFonts w:cstheme="minorHAnsi"/>
          <w:rtl/>
        </w:rPr>
        <w:t xml:space="preserve"> </w:t>
      </w:r>
      <w:r w:rsidRPr="003F08A5">
        <w:rPr>
          <w:rFonts w:cstheme="minorHAnsi"/>
          <w:rtl/>
        </w:rPr>
        <w:t>הלוואות על מסגרת כרטיס אשראי כוללות הלוואות קרדיט (פריסת תשלומים נושאי ריבית) וכרטיסי אשראי עם אשראי מתגלגל (</w:t>
      </w:r>
      <w:r w:rsidRPr="003F08A5">
        <w:rPr>
          <w:rFonts w:cstheme="minorHAnsi"/>
        </w:rPr>
        <w:t>Revolving</w:t>
      </w:r>
      <w:r w:rsidRPr="003F08A5">
        <w:rPr>
          <w:rFonts w:cstheme="minorHAnsi"/>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55D0D56"/>
    <w:multiLevelType w:val="hybridMultilevel"/>
    <w:tmpl w:val="C0B8FE96"/>
    <w:lvl w:ilvl="0" w:tplc="3D9E4358">
      <w:start w:val="1"/>
      <w:numFmt w:val="hebrew1"/>
      <w:lvlText w:val="%1."/>
      <w:lvlJc w:val="left"/>
      <w:pPr>
        <w:ind w:left="360" w:hanging="360"/>
      </w:pPr>
      <w:rPr>
        <w:rFonts w:hint="default"/>
      </w:rPr>
    </w:lvl>
    <w:lvl w:ilvl="1" w:tplc="D18C7756">
      <w:start w:val="1"/>
      <w:numFmt w:val="lowerLetter"/>
      <w:lvlText w:val="%2."/>
      <w:lvlJc w:val="left"/>
      <w:pPr>
        <w:ind w:left="1080" w:hanging="360"/>
      </w:pPr>
    </w:lvl>
    <w:lvl w:ilvl="2" w:tplc="98E4E09C">
      <w:start w:val="1"/>
      <w:numFmt w:val="lowerRoman"/>
      <w:lvlText w:val="%3."/>
      <w:lvlJc w:val="right"/>
      <w:pPr>
        <w:ind w:left="1800" w:hanging="180"/>
      </w:pPr>
    </w:lvl>
    <w:lvl w:ilvl="3" w:tplc="42E838E6" w:tentative="1">
      <w:start w:val="1"/>
      <w:numFmt w:val="decimal"/>
      <w:lvlText w:val="%4."/>
      <w:lvlJc w:val="left"/>
      <w:pPr>
        <w:ind w:left="2520" w:hanging="360"/>
      </w:pPr>
    </w:lvl>
    <w:lvl w:ilvl="4" w:tplc="489CEEEC" w:tentative="1">
      <w:start w:val="1"/>
      <w:numFmt w:val="lowerLetter"/>
      <w:lvlText w:val="%5."/>
      <w:lvlJc w:val="left"/>
      <w:pPr>
        <w:ind w:left="3240" w:hanging="360"/>
      </w:pPr>
    </w:lvl>
    <w:lvl w:ilvl="5" w:tplc="99A85D46" w:tentative="1">
      <w:start w:val="1"/>
      <w:numFmt w:val="lowerRoman"/>
      <w:lvlText w:val="%6."/>
      <w:lvlJc w:val="right"/>
      <w:pPr>
        <w:ind w:left="3960" w:hanging="180"/>
      </w:pPr>
    </w:lvl>
    <w:lvl w:ilvl="6" w:tplc="988495C8" w:tentative="1">
      <w:start w:val="1"/>
      <w:numFmt w:val="decimal"/>
      <w:lvlText w:val="%7."/>
      <w:lvlJc w:val="left"/>
      <w:pPr>
        <w:ind w:left="4680" w:hanging="360"/>
      </w:pPr>
    </w:lvl>
    <w:lvl w:ilvl="7" w:tplc="C82245CC" w:tentative="1">
      <w:start w:val="1"/>
      <w:numFmt w:val="lowerLetter"/>
      <w:lvlText w:val="%8."/>
      <w:lvlJc w:val="left"/>
      <w:pPr>
        <w:ind w:left="5400" w:hanging="360"/>
      </w:pPr>
    </w:lvl>
    <w:lvl w:ilvl="8" w:tplc="2B12D92E" w:tentative="1">
      <w:start w:val="1"/>
      <w:numFmt w:val="lowerRoman"/>
      <w:lvlText w:val="%9."/>
      <w:lvlJc w:val="right"/>
      <w:pPr>
        <w:ind w:left="6120" w:hanging="180"/>
      </w:p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1FB7"/>
    <w:multiLevelType w:val="hybridMultilevel"/>
    <w:tmpl w:val="E63ADC3C"/>
    <w:lvl w:ilvl="0" w:tplc="E5105956">
      <w:start w:val="1"/>
      <w:numFmt w:val="bullet"/>
      <w:lvlText w:val=""/>
      <w:lvlJc w:val="left"/>
      <w:pPr>
        <w:ind w:left="360" w:hanging="360"/>
      </w:pPr>
      <w:rPr>
        <w:rFonts w:ascii="Symbol" w:hAnsi="Symbol" w:hint="default"/>
      </w:rPr>
    </w:lvl>
    <w:lvl w:ilvl="1" w:tplc="CCDC8912" w:tentative="1">
      <w:start w:val="1"/>
      <w:numFmt w:val="bullet"/>
      <w:lvlText w:val="o"/>
      <w:lvlJc w:val="left"/>
      <w:pPr>
        <w:ind w:left="1080" w:hanging="360"/>
      </w:pPr>
      <w:rPr>
        <w:rFonts w:ascii="Courier New" w:hAnsi="Courier New" w:cs="Courier New" w:hint="default"/>
      </w:rPr>
    </w:lvl>
    <w:lvl w:ilvl="2" w:tplc="DBEA1C48" w:tentative="1">
      <w:start w:val="1"/>
      <w:numFmt w:val="bullet"/>
      <w:lvlText w:val=""/>
      <w:lvlJc w:val="left"/>
      <w:pPr>
        <w:ind w:left="1800" w:hanging="360"/>
      </w:pPr>
      <w:rPr>
        <w:rFonts w:ascii="Wingdings" w:hAnsi="Wingdings" w:hint="default"/>
      </w:rPr>
    </w:lvl>
    <w:lvl w:ilvl="3" w:tplc="3CAC26D8" w:tentative="1">
      <w:start w:val="1"/>
      <w:numFmt w:val="bullet"/>
      <w:lvlText w:val=""/>
      <w:lvlJc w:val="left"/>
      <w:pPr>
        <w:ind w:left="2520" w:hanging="360"/>
      </w:pPr>
      <w:rPr>
        <w:rFonts w:ascii="Symbol" w:hAnsi="Symbol" w:hint="default"/>
      </w:rPr>
    </w:lvl>
    <w:lvl w:ilvl="4" w:tplc="7018BC32" w:tentative="1">
      <w:start w:val="1"/>
      <w:numFmt w:val="bullet"/>
      <w:lvlText w:val="o"/>
      <w:lvlJc w:val="left"/>
      <w:pPr>
        <w:ind w:left="3240" w:hanging="360"/>
      </w:pPr>
      <w:rPr>
        <w:rFonts w:ascii="Courier New" w:hAnsi="Courier New" w:cs="Courier New" w:hint="default"/>
      </w:rPr>
    </w:lvl>
    <w:lvl w:ilvl="5" w:tplc="62C83082" w:tentative="1">
      <w:start w:val="1"/>
      <w:numFmt w:val="bullet"/>
      <w:lvlText w:val=""/>
      <w:lvlJc w:val="left"/>
      <w:pPr>
        <w:ind w:left="3960" w:hanging="360"/>
      </w:pPr>
      <w:rPr>
        <w:rFonts w:ascii="Wingdings" w:hAnsi="Wingdings" w:hint="default"/>
      </w:rPr>
    </w:lvl>
    <w:lvl w:ilvl="6" w:tplc="6C5A2EA6" w:tentative="1">
      <w:start w:val="1"/>
      <w:numFmt w:val="bullet"/>
      <w:lvlText w:val=""/>
      <w:lvlJc w:val="left"/>
      <w:pPr>
        <w:ind w:left="4680" w:hanging="360"/>
      </w:pPr>
      <w:rPr>
        <w:rFonts w:ascii="Symbol" w:hAnsi="Symbol" w:hint="default"/>
      </w:rPr>
    </w:lvl>
    <w:lvl w:ilvl="7" w:tplc="019ADF28" w:tentative="1">
      <w:start w:val="1"/>
      <w:numFmt w:val="bullet"/>
      <w:lvlText w:val="o"/>
      <w:lvlJc w:val="left"/>
      <w:pPr>
        <w:ind w:left="5400" w:hanging="360"/>
      </w:pPr>
      <w:rPr>
        <w:rFonts w:ascii="Courier New" w:hAnsi="Courier New" w:cs="Courier New" w:hint="default"/>
      </w:rPr>
    </w:lvl>
    <w:lvl w:ilvl="8" w:tplc="881069F4" w:tentative="1">
      <w:start w:val="1"/>
      <w:numFmt w:val="bullet"/>
      <w:lvlText w:val=""/>
      <w:lvlJc w:val="left"/>
      <w:pPr>
        <w:ind w:left="6120" w:hanging="360"/>
      </w:pPr>
      <w:rPr>
        <w:rFonts w:ascii="Wingdings" w:hAnsi="Wingdings" w:hint="default"/>
      </w:rPr>
    </w:lvl>
  </w:abstractNum>
  <w:abstractNum w:abstractNumId="7"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B010F"/>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3C6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פיסקת bullets,List Paragraph1,List Paragraph2,List Paragraph11,List Paragraph3"/>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פיסקת bullets Char,List Paragraph1 Char,List Paragraph2 Char,List Paragraph11 Char,List Paragraph3 Char"/>
    <w:basedOn w:val="DefaultParagraphFont"/>
    <w:link w:val="ListParagraph"/>
    <w:uiPriority w:val="34"/>
    <w:rsid w:val="00031A9D"/>
  </w:style>
  <w:style w:type="paragraph" w:styleId="FootnoteText">
    <w:name w:val="footnote text"/>
    <w:aliases w:val="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Footnote Text Char Char Char Char Char Char,תו, תו"/>
    <w:basedOn w:val="Normal"/>
    <w:link w:val="FootnoteTextChar"/>
    <w:uiPriority w:val="99"/>
    <w:unhideWhenUsed/>
    <w:qFormat/>
    <w:rsid w:val="003B010F"/>
    <w:pPr>
      <w:bidi/>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טקסט הערות שוליים תו2 Char,טקסט הערות שוליים תו1 תו Char,טקסט הערות שוליים תו תו תו Char,טקסט הערות שוליים תו תו1 Char,תו תו תו1 Char,Footnote Text תו Char,תו תו תו תו Char, תו תו תו תו Char, תו תו תו1 Char,fn Char1,fn Char Char"/>
    <w:basedOn w:val="DefaultParagraphFont"/>
    <w:link w:val="FootnoteText"/>
    <w:uiPriority w:val="99"/>
    <w:rsid w:val="003B010F"/>
    <w:rPr>
      <w:sz w:val="20"/>
      <w:szCs w:val="20"/>
    </w:rPr>
  </w:style>
  <w:style w:type="character" w:styleId="FootnoteReference">
    <w:name w:val="footnote reference"/>
    <w:aliases w:val="טקסט הערת שוליים חדש,Footnote Reference Number,Footnote Reference_LVL6,Footnote Reference_LVL61,Footnote Reference_LVL62,Footnote Reference_LVL63,Footnote Reference_LVL64,fr,SUPERS,EN Footnote Reference,number,Footnote symbol"/>
    <w:basedOn w:val="DefaultParagraphFont"/>
    <w:uiPriority w:val="99"/>
    <w:unhideWhenUsed/>
    <w:rsid w:val="003B010F"/>
    <w:rPr>
      <w:vertAlign w:val="superscript"/>
    </w:rPr>
  </w:style>
  <w:style w:type="paragraph" w:customStyle="1" w:styleId="whitespace-pre-wrap">
    <w:name w:val="whitespace-pre-wrap"/>
    <w:basedOn w:val="Normal"/>
    <w:rsid w:val="003B010F"/>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facebook.com/bankisraelvc" TargetMode="External"/><Relationship Id="rId3" Type="http://schemas.openxmlformats.org/officeDocument/2006/relationships/image" Target="media/image6.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8.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7.png"/><Relationship Id="rId9" Type="http://schemas.microsoft.com/office/2007/relationships/hdphoto" Target="media/hdphoto3.wdp"/><Relationship Id="rId14" Type="http://schemas.openxmlformats.org/officeDocument/2006/relationships/hyperlink" Target="https://www.boi.org.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oi.org.il/roles/supervisionregulation/nbt/nbt45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4939</Characters>
  <Application>Microsoft Office Word</Application>
  <DocSecurity>0</DocSecurity>
  <Lines>329</Lines>
  <Paragraphs>348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2026-03-18T08:34:00Z</dcterms:created>
  <dcterms:modified xsi:type="dcterms:W3CDTF">2026-03-18T08:34:00Z</dcterms:modified>
</cp:coreProperties>
</file>