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6E" w:rsidRDefault="00C50C6E" w:rsidP="00C50C6E">
      <w:pPr>
        <w:pStyle w:val="1"/>
        <w:jc w:val="center"/>
        <w:rPr>
          <w:rFonts w:hint="default"/>
          <w:rtl/>
        </w:rPr>
      </w:pPr>
    </w:p>
    <w:p w:rsidR="00C50C6E" w:rsidRPr="00D01913" w:rsidRDefault="00C50C6E" w:rsidP="00C50C6E">
      <w:pPr>
        <w:bidi/>
        <w:spacing w:before="240" w:after="200"/>
        <w:jc w:val="both"/>
        <w:rPr>
          <w:rFonts w:cs="David" w:hint="default"/>
          <w:lang w:eastAsia="en-US"/>
        </w:rPr>
      </w:pPr>
      <w:r>
        <w:rPr>
          <w:rFonts w:cs="David"/>
          <w:rtl/>
          <w:lang w:eastAsia="en-US"/>
        </w:rPr>
        <w:t>הודעה לעיתונות:</w:t>
      </w:r>
    </w:p>
    <w:tbl>
      <w:tblPr>
        <w:tblpPr w:leftFromText="180" w:rightFromText="180" w:vertAnchor="page" w:horzAnchor="margin" w:tblpXSpec="center" w:tblpY="961"/>
        <w:bidiVisual/>
        <w:tblW w:w="8520" w:type="dxa"/>
        <w:tblLayout w:type="fixed"/>
        <w:tblLook w:val="0000" w:firstRow="0" w:lastRow="0" w:firstColumn="0" w:lastColumn="0" w:noHBand="0" w:noVBand="0"/>
      </w:tblPr>
      <w:tblGrid>
        <w:gridCol w:w="2840"/>
        <w:gridCol w:w="2596"/>
        <w:gridCol w:w="3084"/>
      </w:tblGrid>
      <w:tr w:rsidR="00C50C6E" w:rsidRPr="00D01913" w:rsidTr="008D18F7">
        <w:tc>
          <w:tcPr>
            <w:tcW w:w="2840" w:type="dxa"/>
            <w:tcBorders>
              <w:top w:val="nil"/>
              <w:left w:val="nil"/>
              <w:bottom w:val="nil"/>
              <w:right w:val="nil"/>
            </w:tcBorders>
            <w:vAlign w:val="center"/>
          </w:tcPr>
          <w:p w:rsidR="00C50C6E" w:rsidRPr="00D01913" w:rsidRDefault="00C50C6E" w:rsidP="008D18F7">
            <w:pPr>
              <w:tabs>
                <w:tab w:val="left" w:pos="567"/>
                <w:tab w:val="left" w:pos="1134"/>
                <w:tab w:val="left" w:pos="1814"/>
                <w:tab w:val="left" w:pos="2665"/>
              </w:tabs>
              <w:bidi/>
              <w:spacing w:before="240" w:line="276" w:lineRule="auto"/>
              <w:ind w:left="32"/>
              <w:jc w:val="center"/>
              <w:rPr>
                <w:rFonts w:cs="David" w:hint="default"/>
                <w:b/>
                <w:bCs/>
                <w:sz w:val="28"/>
                <w:szCs w:val="28"/>
                <w:lang w:eastAsia="en-US"/>
              </w:rPr>
            </w:pPr>
            <w:r w:rsidRPr="00D01913">
              <w:rPr>
                <w:rFonts w:cs="David"/>
                <w:b/>
                <w:bCs/>
                <w:sz w:val="28"/>
                <w:szCs w:val="28"/>
                <w:rtl/>
                <w:lang w:eastAsia="en-US"/>
              </w:rPr>
              <w:t>בנק ישראל</w:t>
            </w:r>
          </w:p>
          <w:p w:rsidR="00C50C6E" w:rsidRPr="00D01913" w:rsidRDefault="00C50C6E" w:rsidP="008D18F7">
            <w:pPr>
              <w:tabs>
                <w:tab w:val="left" w:pos="567"/>
                <w:tab w:val="left" w:pos="1134"/>
                <w:tab w:val="left" w:pos="1814"/>
                <w:tab w:val="left" w:pos="2665"/>
              </w:tabs>
              <w:bidi/>
              <w:spacing w:before="240" w:line="276" w:lineRule="auto"/>
              <w:ind w:left="32" w:right="-101"/>
              <w:jc w:val="center"/>
              <w:rPr>
                <w:rFonts w:cs="David" w:hint="default"/>
                <w:lang w:eastAsia="en-US"/>
              </w:rPr>
            </w:pPr>
            <w:r w:rsidRPr="00D01913">
              <w:rPr>
                <w:rFonts w:cs="David"/>
                <w:rtl/>
                <w:lang w:eastAsia="en-US"/>
              </w:rPr>
              <w:t>דוברות והסברה כלכלית</w:t>
            </w:r>
          </w:p>
        </w:tc>
        <w:tc>
          <w:tcPr>
            <w:tcW w:w="2596" w:type="dxa"/>
            <w:tcBorders>
              <w:top w:val="nil"/>
              <w:left w:val="nil"/>
              <w:bottom w:val="nil"/>
              <w:right w:val="nil"/>
            </w:tcBorders>
          </w:tcPr>
          <w:p w:rsidR="00C50C6E" w:rsidRPr="00D01913" w:rsidRDefault="00C50C6E" w:rsidP="008D18F7">
            <w:pPr>
              <w:tabs>
                <w:tab w:val="left" w:pos="567"/>
                <w:tab w:val="left" w:pos="1134"/>
                <w:tab w:val="left" w:pos="1814"/>
                <w:tab w:val="left" w:pos="2665"/>
              </w:tabs>
              <w:bidi/>
              <w:spacing w:before="240"/>
              <w:ind w:left="32"/>
              <w:jc w:val="center"/>
              <w:rPr>
                <w:rFonts w:cs="David" w:hint="default"/>
                <w:lang w:eastAsia="en-US"/>
              </w:rPr>
            </w:pPr>
            <w:r w:rsidRPr="00D01913">
              <w:rPr>
                <w:rFonts w:cs="David"/>
                <w:noProof/>
                <w:lang w:eastAsia="en-US"/>
              </w:rPr>
              <w:t xml:space="preserve"> </w:t>
            </w:r>
            <w:r w:rsidRPr="00D01913">
              <w:rPr>
                <w:rFonts w:cs="David"/>
                <w:noProof/>
                <w:lang w:eastAsia="en-US"/>
              </w:rPr>
              <w:drawing>
                <wp:inline distT="0" distB="0" distL="0" distR="0" wp14:anchorId="633D1409" wp14:editId="393686FE">
                  <wp:extent cx="829963" cy="720000"/>
                  <wp:effectExtent l="0" t="0" r="8255" b="4445"/>
                  <wp:docPr id="6" name="תמונה 6"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לוגו בנק ישראל" title="לוגו בנק ישראל"/>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829963"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4" w:type="dxa"/>
            <w:tcBorders>
              <w:top w:val="nil"/>
              <w:left w:val="nil"/>
              <w:bottom w:val="nil"/>
              <w:right w:val="nil"/>
            </w:tcBorders>
            <w:vAlign w:val="center"/>
          </w:tcPr>
          <w:p w:rsidR="00C50C6E" w:rsidRPr="00D01913" w:rsidRDefault="00C50C6E" w:rsidP="008D18F7">
            <w:pPr>
              <w:tabs>
                <w:tab w:val="left" w:pos="567"/>
                <w:tab w:val="left" w:pos="1134"/>
                <w:tab w:val="left" w:pos="1814"/>
                <w:tab w:val="left" w:pos="2665"/>
              </w:tabs>
              <w:bidi/>
              <w:spacing w:before="240" w:line="276" w:lineRule="auto"/>
              <w:ind w:left="32"/>
              <w:jc w:val="right"/>
              <w:rPr>
                <w:rFonts w:cs="David" w:hint="default"/>
                <w:rtl/>
                <w:lang w:eastAsia="en-US"/>
              </w:rPr>
            </w:pPr>
            <w:r w:rsidRPr="00D01913">
              <w:rPr>
                <w:rFonts w:cs="David" w:hint="eastAsia"/>
                <w:rtl/>
                <w:lang w:eastAsia="en-US"/>
              </w:rPr>
              <w:t>‏</w:t>
            </w:r>
            <w:r w:rsidRPr="00D01913">
              <w:rPr>
                <w:rFonts w:cs="David"/>
                <w:rtl/>
                <w:lang w:eastAsia="en-US"/>
              </w:rPr>
              <w:t xml:space="preserve"> ירושלים, </w:t>
            </w:r>
            <w:r>
              <w:rPr>
                <w:rFonts w:cs="David"/>
                <w:rtl/>
                <w:lang w:eastAsia="en-US"/>
              </w:rPr>
              <w:t xml:space="preserve">ה </w:t>
            </w:r>
            <w:r w:rsidRPr="00D01913">
              <w:rPr>
                <w:rFonts w:cs="David"/>
                <w:rtl/>
                <w:lang w:eastAsia="en-US"/>
              </w:rPr>
              <w:t xml:space="preserve"> </w:t>
            </w:r>
            <w:r w:rsidRPr="00D01913">
              <w:rPr>
                <w:rFonts w:cs="David" w:hint="eastAsia"/>
                <w:rtl/>
                <w:lang w:eastAsia="en-US"/>
              </w:rPr>
              <w:t>ב</w:t>
            </w:r>
            <w:r>
              <w:rPr>
                <w:rFonts w:cs="David"/>
                <w:rtl/>
                <w:lang w:eastAsia="en-US"/>
              </w:rPr>
              <w:t>חשון</w:t>
            </w:r>
            <w:r w:rsidRPr="00D01913">
              <w:rPr>
                <w:rFonts w:cs="David"/>
                <w:rtl/>
                <w:lang w:eastAsia="en-US"/>
              </w:rPr>
              <w:t xml:space="preserve">, </w:t>
            </w:r>
            <w:r w:rsidRPr="00D01913">
              <w:rPr>
                <w:rFonts w:cs="David" w:hint="eastAsia"/>
                <w:rtl/>
                <w:lang w:eastAsia="en-US"/>
              </w:rPr>
              <w:t>תשפ</w:t>
            </w:r>
            <w:r w:rsidRPr="00D01913">
              <w:rPr>
                <w:rFonts w:cs="David"/>
                <w:rtl/>
                <w:lang w:eastAsia="en-US"/>
              </w:rPr>
              <w:t>"</w:t>
            </w:r>
            <w:r>
              <w:rPr>
                <w:rFonts w:cs="David"/>
                <w:rtl/>
                <w:lang w:eastAsia="en-US"/>
              </w:rPr>
              <w:t>ג</w:t>
            </w:r>
            <w:r w:rsidRPr="00D01913">
              <w:rPr>
                <w:rFonts w:cs="David" w:hint="eastAsia"/>
                <w:rtl/>
                <w:lang w:eastAsia="en-US"/>
              </w:rPr>
              <w:t>‏</w:t>
            </w:r>
          </w:p>
          <w:p w:rsidR="00C50C6E" w:rsidRPr="00D01913" w:rsidRDefault="00C50C6E" w:rsidP="008D18F7">
            <w:pPr>
              <w:tabs>
                <w:tab w:val="left" w:pos="567"/>
                <w:tab w:val="left" w:pos="1134"/>
                <w:tab w:val="left" w:pos="1814"/>
                <w:tab w:val="left" w:pos="2665"/>
              </w:tabs>
              <w:bidi/>
              <w:spacing w:before="240" w:line="276" w:lineRule="auto"/>
              <w:ind w:left="32"/>
              <w:jc w:val="right"/>
              <w:rPr>
                <w:rFonts w:cs="David" w:hint="default"/>
                <w:highlight w:val="yellow"/>
                <w:rtl/>
                <w:lang w:eastAsia="en-US"/>
              </w:rPr>
            </w:pPr>
            <w:r>
              <w:rPr>
                <w:rFonts w:cs="David"/>
                <w:rtl/>
                <w:lang w:eastAsia="en-US"/>
              </w:rPr>
              <w:t>30</w:t>
            </w:r>
            <w:r w:rsidRPr="00D01913">
              <w:rPr>
                <w:rFonts w:cs="David"/>
                <w:rtl/>
                <w:lang w:eastAsia="en-US"/>
              </w:rPr>
              <w:t xml:space="preserve"> אוקטובר, 2022</w:t>
            </w:r>
          </w:p>
        </w:tc>
      </w:tr>
    </w:tbl>
    <w:p w:rsidR="00C50C6E" w:rsidRDefault="00C50C6E" w:rsidP="00C50C6E">
      <w:pPr>
        <w:pStyle w:val="1"/>
        <w:jc w:val="center"/>
        <w:rPr>
          <w:rFonts w:hint="default"/>
        </w:rPr>
      </w:pPr>
      <w:r>
        <w:rPr>
          <w:rtl/>
        </w:rPr>
        <w:t>בנק ישראל קיים תרגול</w:t>
      </w:r>
      <w:r w:rsidRPr="00BD0810">
        <w:rPr>
          <w:rFonts w:hint="default"/>
          <w:rtl/>
        </w:rPr>
        <w:t xml:space="preserve"> מתן שירותי בנקאות חיוניים </w:t>
      </w:r>
      <w:r>
        <w:rPr>
          <w:rtl/>
        </w:rPr>
        <w:t>בתרחיש חירום של רעידת אדמה</w:t>
      </w:r>
    </w:p>
    <w:p w:rsidR="00C50C6E" w:rsidRPr="004E3C72" w:rsidRDefault="00C50C6E" w:rsidP="00C50C6E">
      <w:pPr>
        <w:rPr>
          <w:rFonts w:asciiTheme="majorHAnsi" w:eastAsiaTheme="majorEastAsia" w:hAnsiTheme="majorHAnsi" w:cs="David" w:hint="default"/>
          <w:b/>
          <w:bCs/>
          <w:sz w:val="28"/>
          <w:szCs w:val="28"/>
          <w:rtl/>
        </w:rPr>
      </w:pPr>
    </w:p>
    <w:p w:rsidR="00C50C6E" w:rsidRDefault="00C50C6E" w:rsidP="00C50C6E">
      <w:pPr>
        <w:bidi/>
        <w:spacing w:line="360" w:lineRule="auto"/>
        <w:ind w:right="-57"/>
        <w:jc w:val="both"/>
        <w:rPr>
          <w:rFonts w:cs="David" w:hint="default"/>
          <w:rtl/>
        </w:rPr>
      </w:pPr>
    </w:p>
    <w:p w:rsidR="00C50C6E" w:rsidRDefault="00C50C6E" w:rsidP="00C50C6E">
      <w:pPr>
        <w:bidi/>
        <w:spacing w:line="360" w:lineRule="auto"/>
        <w:ind w:right="-57"/>
        <w:jc w:val="both"/>
        <w:rPr>
          <w:rFonts w:cs="David" w:hint="default"/>
          <w:rtl/>
        </w:rPr>
      </w:pPr>
      <w:r>
        <w:rPr>
          <w:rFonts w:cs="David"/>
          <w:rtl/>
        </w:rPr>
        <w:t>במסגרת יום עיון והשתלמות ארצית בנושא "הטיפול באוכלוסייה בעת רעידת אדמה", הוקם ע"י</w:t>
      </w:r>
      <w:r w:rsidRPr="00700DD6">
        <w:rPr>
          <w:rFonts w:cs="David"/>
          <w:rtl/>
        </w:rPr>
        <w:t xml:space="preserve"> </w:t>
      </w:r>
      <w:r>
        <w:rPr>
          <w:rFonts w:cs="David"/>
          <w:rtl/>
        </w:rPr>
        <w:t>עיריית חולון "אתר סיוע לאוכלוסייה" (</w:t>
      </w:r>
      <w:proofErr w:type="spellStart"/>
      <w:r>
        <w:rPr>
          <w:rFonts w:cs="David"/>
          <w:rtl/>
        </w:rPr>
        <w:t>אס"ל</w:t>
      </w:r>
      <w:proofErr w:type="spellEnd"/>
      <w:r>
        <w:rPr>
          <w:rFonts w:cs="David"/>
          <w:rtl/>
        </w:rPr>
        <w:t>).</w:t>
      </w:r>
    </w:p>
    <w:p w:rsidR="00C50C6E" w:rsidRDefault="00C50C6E" w:rsidP="00C50C6E">
      <w:pPr>
        <w:bidi/>
        <w:spacing w:line="360" w:lineRule="auto"/>
        <w:ind w:right="-57"/>
        <w:jc w:val="both"/>
        <w:rPr>
          <w:rFonts w:cs="David" w:hint="default"/>
          <w:rtl/>
        </w:rPr>
      </w:pPr>
    </w:p>
    <w:p w:rsidR="00C50C6E" w:rsidRDefault="00C50C6E" w:rsidP="00C50C6E">
      <w:pPr>
        <w:bidi/>
        <w:spacing w:line="360" w:lineRule="auto"/>
        <w:ind w:right="-57"/>
        <w:jc w:val="both"/>
        <w:rPr>
          <w:rFonts w:cs="David" w:hint="default"/>
          <w:rtl/>
        </w:rPr>
      </w:pPr>
      <w:r>
        <w:rPr>
          <w:rFonts w:cs="David"/>
          <w:rtl/>
        </w:rPr>
        <w:t xml:space="preserve"> אתר הסיוע מיועד לתת מענה לצרכים בסיסים לאוכלוסייה שנפגעה בתרגיל. פועלים בו גופים רבים בהובלת הרשות המקומית כגון : רשות האוכלוסין, משטרת ישראל, פיקוד העורף, </w:t>
      </w:r>
      <w:proofErr w:type="spellStart"/>
      <w:r>
        <w:rPr>
          <w:rFonts w:cs="David"/>
          <w:rtl/>
        </w:rPr>
        <w:t>רח"ל</w:t>
      </w:r>
      <w:proofErr w:type="spellEnd"/>
      <w:r>
        <w:rPr>
          <w:rFonts w:cs="David"/>
          <w:rtl/>
        </w:rPr>
        <w:t xml:space="preserve">, משרד הפנים, מגן דוד אדום ועוד; וזאת, במטרה לספק לאזרח מגוון שירותים חיוניים ובסיסים . </w:t>
      </w:r>
    </w:p>
    <w:p w:rsidR="00C50C6E" w:rsidRDefault="00C50C6E" w:rsidP="00C50C6E">
      <w:pPr>
        <w:bidi/>
        <w:spacing w:line="360" w:lineRule="auto"/>
        <w:ind w:right="-57"/>
        <w:jc w:val="both"/>
        <w:rPr>
          <w:rFonts w:cs="David" w:hint="default"/>
          <w:rtl/>
        </w:rPr>
      </w:pPr>
    </w:p>
    <w:p w:rsidR="00C50C6E" w:rsidRPr="00D65FBD" w:rsidRDefault="00C50C6E" w:rsidP="00C50C6E">
      <w:pPr>
        <w:bidi/>
        <w:spacing w:line="360" w:lineRule="auto"/>
        <w:ind w:right="-57"/>
        <w:jc w:val="both"/>
        <w:rPr>
          <w:rFonts w:ascii="David" w:hAnsi="David" w:cs="David" w:hint="default"/>
          <w:rtl/>
        </w:rPr>
      </w:pPr>
      <w:r w:rsidRPr="00D65FBD">
        <w:rPr>
          <w:rFonts w:ascii="David" w:hAnsi="David" w:cs="David" w:hint="default"/>
          <w:rtl/>
        </w:rPr>
        <w:t xml:space="preserve">במסגרת </w:t>
      </w:r>
      <w:r>
        <w:rPr>
          <w:rFonts w:ascii="David" w:hAnsi="David" w:cs="David"/>
          <w:rtl/>
        </w:rPr>
        <w:t>ה</w:t>
      </w:r>
      <w:r w:rsidRPr="00D65FBD">
        <w:rPr>
          <w:rFonts w:ascii="David" w:hAnsi="David" w:cs="David" w:hint="default"/>
          <w:rtl/>
        </w:rPr>
        <w:t xml:space="preserve">פעילות </w:t>
      </w:r>
      <w:r>
        <w:rPr>
          <w:rFonts w:ascii="David" w:hAnsi="David" w:cs="David"/>
          <w:rtl/>
        </w:rPr>
        <w:t>תרגל בנק ישראל</w:t>
      </w:r>
      <w:r w:rsidRPr="00D65FBD">
        <w:rPr>
          <w:rFonts w:ascii="David" w:hAnsi="David" w:cs="David" w:hint="default"/>
          <w:rtl/>
        </w:rPr>
        <w:t xml:space="preserve"> תהליך מתן שירותי בנקאות חיוניים במצב חירום על ידי תאגידים בנקאיים</w:t>
      </w:r>
      <w:r>
        <w:rPr>
          <w:rFonts w:ascii="David" w:hAnsi="David" w:cs="David"/>
          <w:rtl/>
        </w:rPr>
        <w:t>, חברות הבלדרות</w:t>
      </w:r>
      <w:r w:rsidRPr="00D65FBD">
        <w:rPr>
          <w:rFonts w:ascii="David" w:hAnsi="David" w:cs="David" w:hint="default"/>
          <w:rtl/>
        </w:rPr>
        <w:t xml:space="preserve"> וחברות פרטיות המספקות שירותי משיכה אוטומטיים. השירותים שנתנו במסגרת התרגיל היו משיכה והפקדה של מזומנים, הפקדת שיקים, זיהוי </w:t>
      </w:r>
      <w:r>
        <w:rPr>
          <w:rFonts w:ascii="David" w:hAnsi="David" w:cs="David"/>
          <w:rtl/>
        </w:rPr>
        <w:t xml:space="preserve">לקוחות </w:t>
      </w:r>
      <w:r w:rsidRPr="00D65FBD">
        <w:rPr>
          <w:rFonts w:ascii="David" w:hAnsi="David" w:cs="David" w:hint="default"/>
          <w:rtl/>
        </w:rPr>
        <w:t xml:space="preserve">מחוסרי תיעוד, וכדומה; וזאת, באמצעות  פריסת סניפים ניידים בעלי יכולת ביצוע פעולות בסיסיות במזומן ע"י פקידי הבנק ובאמצעות הצבת מכשירי משיכה אוטומטיים. </w:t>
      </w:r>
      <w:r>
        <w:rPr>
          <w:rFonts w:ascii="David" w:hAnsi="David" w:cs="David"/>
          <w:rtl/>
        </w:rPr>
        <w:t xml:space="preserve">כמו כן, תורגל תהליך של הטענת מכשיר משיכה אוטומטי </w:t>
      </w:r>
      <w:proofErr w:type="spellStart"/>
      <w:r>
        <w:rPr>
          <w:rFonts w:ascii="David" w:hAnsi="David" w:cs="David"/>
          <w:rtl/>
        </w:rPr>
        <w:t>באס"ל</w:t>
      </w:r>
      <w:proofErr w:type="spellEnd"/>
      <w:r>
        <w:rPr>
          <w:rFonts w:ascii="David" w:hAnsi="David" w:cs="David"/>
          <w:rtl/>
        </w:rPr>
        <w:t xml:space="preserve"> באמצעות חברת בלדרות. </w:t>
      </w:r>
    </w:p>
    <w:p w:rsidR="00C50C6E" w:rsidRPr="00D65FBD" w:rsidRDefault="00C50C6E" w:rsidP="00C50C6E">
      <w:pPr>
        <w:bidi/>
        <w:spacing w:line="360" w:lineRule="auto"/>
        <w:ind w:right="-57"/>
        <w:jc w:val="both"/>
        <w:rPr>
          <w:rFonts w:ascii="David" w:hAnsi="David" w:cs="David" w:hint="default"/>
          <w:rtl/>
        </w:rPr>
      </w:pPr>
    </w:p>
    <w:p w:rsidR="00C50C6E" w:rsidRDefault="00C50C6E" w:rsidP="00C50C6E">
      <w:pPr>
        <w:bidi/>
        <w:spacing w:line="360" w:lineRule="auto"/>
        <w:ind w:right="-57"/>
        <w:jc w:val="both"/>
        <w:rPr>
          <w:rFonts w:cs="David" w:hint="default"/>
          <w:rtl/>
        </w:rPr>
      </w:pPr>
      <w:r>
        <w:rPr>
          <w:rFonts w:cs="David"/>
          <w:rtl/>
        </w:rPr>
        <w:t>ההשתתפות בתרגיל הינה נדבך נוסף בפעילות בנק ישראל, התאגידים הבנקאיים, חברות הבלדרות ומפעילי מכונות המשיכה האוטומטיים הפרטיים לקידום מוכנות המערכת הבנקאית למצבי חירום בכלל וברעידת אדמה בפרט.</w:t>
      </w:r>
    </w:p>
    <w:p w:rsidR="00C50C6E" w:rsidRDefault="00C50C6E" w:rsidP="00C50C6E">
      <w:pPr>
        <w:bidi/>
        <w:spacing w:line="360" w:lineRule="auto"/>
        <w:ind w:right="-57"/>
        <w:jc w:val="both"/>
        <w:rPr>
          <w:rFonts w:cs="David" w:hint="default"/>
          <w:rtl/>
        </w:rPr>
      </w:pPr>
    </w:p>
    <w:p w:rsidR="00C50C6E" w:rsidRDefault="00C50C6E" w:rsidP="00C50C6E">
      <w:pPr>
        <w:bidi/>
        <w:spacing w:line="360" w:lineRule="auto"/>
        <w:ind w:right="-57"/>
        <w:jc w:val="both"/>
        <w:rPr>
          <w:rFonts w:cs="David" w:hint="default"/>
          <w:rtl/>
        </w:rPr>
      </w:pPr>
    </w:p>
    <w:p w:rsidR="00C50C6E" w:rsidRPr="00283D4A" w:rsidRDefault="00C50C6E" w:rsidP="00C50C6E">
      <w:pPr>
        <w:bidi/>
        <w:spacing w:line="360" w:lineRule="auto"/>
        <w:ind w:right="-57"/>
        <w:jc w:val="both"/>
        <w:rPr>
          <w:rFonts w:ascii="David" w:hAnsi="David" w:cs="David" w:hint="default"/>
          <w:b/>
          <w:bCs/>
        </w:rPr>
      </w:pPr>
      <w:r w:rsidRPr="00283D4A">
        <w:rPr>
          <w:rFonts w:ascii="David" w:hAnsi="David" w:cs="David"/>
          <w:b/>
          <w:bCs/>
          <w:rtl/>
        </w:rPr>
        <w:t xml:space="preserve">מנהלת מחלקת המטבע בבנק ישראל, הגב' לימור גולדשטיין: </w:t>
      </w:r>
    </w:p>
    <w:p w:rsidR="00C50C6E" w:rsidRPr="00283D4A" w:rsidRDefault="00C50C6E" w:rsidP="00C50C6E">
      <w:pPr>
        <w:bidi/>
        <w:spacing w:line="360" w:lineRule="auto"/>
        <w:ind w:right="-57"/>
        <w:jc w:val="both"/>
        <w:rPr>
          <w:rFonts w:ascii="David" w:hAnsi="David" w:cs="David" w:hint="default"/>
        </w:rPr>
      </w:pPr>
      <w:r w:rsidRPr="00283D4A">
        <w:rPr>
          <w:rFonts w:ascii="David" w:hAnsi="David" w:cs="David"/>
          <w:rtl/>
        </w:rPr>
        <w:t>"בשבוע האחרון הובילו מחלקת המטבע והפיקוח על הבנקים את שילוב המערכת הבנקאית בתרגול הפעלת אתר סיוע לאוכלוסייה בתרחיש רעידת אדמה, שקיימה עיריית חולון. מטרת הפעילות, להמשיך ולהבטיח מוכנות לרציפות אספקת המטבע והשירותים הבנקאיים לציבור גם בעת חירום; ולחזק את שיתופי הפעולה בין כל הגופים הפועלים בחירום ואמונים על אספקת שירותים חיוניים לציבור. אני רוצה לשבח את כלל הגופים שפעלו באתר והוכיחו רמת מוכנות גבוהה ושיתוף פעולה. עתה, תפקידנו הוא להפיק את הלקחים ולהמשיך לעבוד ולשכלל את המוכנות וההמשכיות העסקית לכל תרחיש חירום באשר הוא ".</w:t>
      </w:r>
    </w:p>
    <w:p w:rsidR="00C50C6E" w:rsidRPr="00283D4A" w:rsidRDefault="00C50C6E" w:rsidP="00C50C6E">
      <w:pPr>
        <w:bidi/>
        <w:spacing w:line="360" w:lineRule="auto"/>
        <w:ind w:right="-57"/>
        <w:jc w:val="both"/>
        <w:rPr>
          <w:rFonts w:cs="David" w:hint="default"/>
          <w:rtl/>
        </w:rPr>
      </w:pPr>
    </w:p>
    <w:p w:rsidR="00BB3891" w:rsidRDefault="00BB3891" w:rsidP="00BB3891">
      <w:pPr>
        <w:rPr>
          <w:rFonts w:hint="default"/>
        </w:rPr>
      </w:pPr>
      <w:r>
        <w:rPr>
          <w:noProof/>
          <w:lang w:eastAsia="en-US"/>
        </w:rPr>
        <w:lastRenderedPageBreak/>
        <w:drawing>
          <wp:anchor distT="0" distB="0" distL="114300" distR="114300" simplePos="0" relativeHeight="251658240" behindDoc="0" locked="0" layoutInCell="1" allowOverlap="1">
            <wp:simplePos x="3590925" y="914400"/>
            <wp:positionH relativeFrom="column">
              <wp:align>right</wp:align>
            </wp:positionH>
            <wp:positionV relativeFrom="paragraph">
              <wp:align>top</wp:align>
            </wp:positionV>
            <wp:extent cx="2822405" cy="2117084"/>
            <wp:effectExtent l="0" t="0" r="0" b="0"/>
            <wp:wrapSquare wrapText="bothSides"/>
            <wp:docPr id="4" name="תמונה 4" descr="cid:76255518035035169795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76255518035035169795623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rot="10800000">
                      <a:off x="0" y="0"/>
                      <a:ext cx="2822405" cy="2117084"/>
                    </a:xfrm>
                    <a:prstGeom prst="rect">
                      <a:avLst/>
                    </a:prstGeom>
                    <a:noFill/>
                    <a:ln>
                      <a:noFill/>
                    </a:ln>
                  </pic:spPr>
                </pic:pic>
              </a:graphicData>
            </a:graphic>
          </wp:anchor>
        </w:drawing>
      </w: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Default="00BB3891" w:rsidP="00BB3891">
      <w:pPr>
        <w:rPr>
          <w:rFonts w:hint="default"/>
        </w:rPr>
      </w:pPr>
    </w:p>
    <w:p w:rsidR="00BB3891" w:rsidRDefault="00BB3891" w:rsidP="00BB3891">
      <w:pPr>
        <w:rPr>
          <w:rFonts w:hint="default"/>
        </w:rPr>
      </w:pPr>
    </w:p>
    <w:p w:rsidR="00BB3891" w:rsidRDefault="00BB3891" w:rsidP="00BB3891">
      <w:pPr>
        <w:bidi/>
        <w:spacing w:line="360" w:lineRule="auto"/>
        <w:ind w:right="-57"/>
        <w:jc w:val="both"/>
        <w:rPr>
          <w:rFonts w:cs="David" w:hint="default"/>
          <w:rtl/>
        </w:rPr>
      </w:pPr>
      <w:r>
        <w:rPr>
          <w:rFonts w:cs="David"/>
          <w:rtl/>
        </w:rPr>
        <w:t xml:space="preserve">סניף נייד בנק דיסקונט </w:t>
      </w:r>
      <w:r>
        <w:rPr>
          <w:rFonts w:cs="David" w:hint="default"/>
          <w:rtl/>
        </w:rPr>
        <w:t>–</w:t>
      </w:r>
      <w:r>
        <w:rPr>
          <w:rFonts w:cs="David"/>
          <w:rtl/>
        </w:rPr>
        <w:t>צילום דוברות ב"י</w:t>
      </w:r>
    </w:p>
    <w:p w:rsidR="00BB3891" w:rsidRDefault="00BB3891" w:rsidP="00BB3891">
      <w:pPr>
        <w:jc w:val="right"/>
        <w:rPr>
          <w:rFonts w:hint="default"/>
        </w:rPr>
      </w:pPr>
      <w:r>
        <w:rPr>
          <w:rFonts w:hint="default"/>
        </w:rPr>
        <w:br w:type="textWrapping" w:clear="all"/>
      </w: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Default="00BB3891" w:rsidP="00BB3891">
      <w:pPr>
        <w:rPr>
          <w:rFonts w:hint="default"/>
        </w:rPr>
      </w:pPr>
      <w:r w:rsidRPr="00934EF9">
        <w:rPr>
          <w:rFonts w:cs="David"/>
          <w:noProof/>
          <w:rtl/>
          <w:lang w:eastAsia="en-US"/>
        </w:rPr>
        <w:drawing>
          <wp:anchor distT="0" distB="0" distL="114300" distR="114300" simplePos="0" relativeHeight="251659264" behindDoc="0" locked="0" layoutInCell="1" allowOverlap="1">
            <wp:simplePos x="3543300" y="3943350"/>
            <wp:positionH relativeFrom="column">
              <wp:align>right</wp:align>
            </wp:positionH>
            <wp:positionV relativeFrom="paragraph">
              <wp:align>top</wp:align>
            </wp:positionV>
            <wp:extent cx="2874850" cy="2156942"/>
            <wp:effectExtent l="0" t="0" r="1905" b="0"/>
            <wp:wrapSquare wrapText="bothSides"/>
            <wp:docPr id="2" name="תמונה 2" descr="C:\Users\u17e\Desktop\קקק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7e\Desktop\קקקק.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4850" cy="2156942"/>
                    </a:xfrm>
                    <a:prstGeom prst="rect">
                      <a:avLst/>
                    </a:prstGeom>
                    <a:noFill/>
                    <a:ln>
                      <a:noFill/>
                    </a:ln>
                  </pic:spPr>
                </pic:pic>
              </a:graphicData>
            </a:graphic>
          </wp:anchor>
        </w:drawing>
      </w: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Pr="00BB3891" w:rsidRDefault="00BB3891" w:rsidP="00BB3891">
      <w:pPr>
        <w:rPr>
          <w:rFonts w:hint="default"/>
        </w:rPr>
      </w:pPr>
    </w:p>
    <w:p w:rsidR="00BB3891" w:rsidRDefault="00BB3891" w:rsidP="00BB3891">
      <w:pPr>
        <w:rPr>
          <w:rFonts w:hint="default"/>
        </w:rPr>
      </w:pPr>
    </w:p>
    <w:p w:rsidR="00BB3891" w:rsidRPr="00BB3891" w:rsidRDefault="00BB3891" w:rsidP="00BB3891">
      <w:pPr>
        <w:tabs>
          <w:tab w:val="left" w:pos="2670"/>
        </w:tabs>
        <w:rPr>
          <w:rFonts w:hint="default"/>
        </w:rPr>
      </w:pPr>
      <w:r>
        <w:rPr>
          <w:rFonts w:hint="default"/>
        </w:rPr>
        <w:tab/>
      </w:r>
      <w:r>
        <w:rPr>
          <w:rFonts w:cs="David"/>
          <w:rtl/>
        </w:rPr>
        <w:t>סניף נייד  בנק לאומי - צילום דוברות ב"י</w:t>
      </w:r>
      <w:r>
        <w:rPr>
          <w:rFonts w:hint="default"/>
        </w:rPr>
        <w:br w:type="textWrapping" w:clear="all"/>
      </w:r>
    </w:p>
    <w:p w:rsidR="00BB3891" w:rsidRDefault="00BB3891" w:rsidP="00BB3891">
      <w:pPr>
        <w:rPr>
          <w:rFonts w:hint="default"/>
        </w:rPr>
      </w:pPr>
    </w:p>
    <w:p w:rsidR="00BA26A8" w:rsidRPr="00BB3891" w:rsidRDefault="00301655" w:rsidP="00301655">
      <w:pPr>
        <w:tabs>
          <w:tab w:val="left" w:pos="7335"/>
        </w:tabs>
        <w:jc w:val="right"/>
        <w:rPr>
          <w:rFonts w:hint="default"/>
        </w:rPr>
      </w:pPr>
      <w:r>
        <w:rPr>
          <w:rFonts w:hint="default"/>
        </w:rPr>
        <w:tab/>
      </w:r>
      <w:r w:rsidR="00BB3891">
        <w:rPr>
          <w:rFonts w:hint="default"/>
        </w:rPr>
        <w:t xml:space="preserve">  </w:t>
      </w:r>
      <w:bookmarkStart w:id="0" w:name="_GoBack"/>
      <w:bookmarkEnd w:id="0"/>
      <w:r w:rsidR="00BB3891" w:rsidRPr="00BB3891">
        <w:rPr>
          <w:rtl/>
        </w:rPr>
        <w:t xml:space="preserve"> </w:t>
      </w:r>
      <w:r w:rsidR="00BB3891" w:rsidRPr="00BB3891">
        <w:rPr>
          <w:rFonts w:ascii="David" w:hAnsi="David" w:cs="David" w:hint="default"/>
          <w:noProof/>
          <w:lang w:eastAsia="en-US"/>
        </w:rPr>
        <w:drawing>
          <wp:inline distT="0" distB="0" distL="0" distR="0" wp14:anchorId="23069612" wp14:editId="4EB806DB">
            <wp:extent cx="1945005" cy="25908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005" cy="2590800"/>
                    </a:xfrm>
                    <a:prstGeom prst="rect">
                      <a:avLst/>
                    </a:prstGeom>
                    <a:noFill/>
                  </pic:spPr>
                </pic:pic>
              </a:graphicData>
            </a:graphic>
          </wp:inline>
        </w:drawing>
      </w:r>
      <w:r>
        <w:rPr>
          <w:rFonts w:ascii="David" w:hAnsi="David" w:cs="David"/>
          <w:rtl/>
        </w:rPr>
        <w:t xml:space="preserve">מכשיר </w:t>
      </w:r>
      <w:r w:rsidR="00BB3891" w:rsidRPr="00BB3891">
        <w:rPr>
          <w:rFonts w:ascii="David" w:hAnsi="David" w:cs="David" w:hint="default"/>
          <w:rtl/>
        </w:rPr>
        <w:t>משיכה חוץ בנקאי של חברת "</w:t>
      </w:r>
      <w:proofErr w:type="spellStart"/>
      <w:r w:rsidR="00BB3891" w:rsidRPr="00BB3891">
        <w:rPr>
          <w:rFonts w:ascii="David" w:hAnsi="David" w:cs="David" w:hint="default"/>
          <w:rtl/>
        </w:rPr>
        <w:t>כספונט</w:t>
      </w:r>
      <w:proofErr w:type="spellEnd"/>
      <w:r w:rsidR="00BB3891" w:rsidRPr="00BB3891">
        <w:rPr>
          <w:rFonts w:ascii="David" w:hAnsi="David" w:cs="David" w:hint="default"/>
          <w:rtl/>
        </w:rPr>
        <w:t>" - –צילום דוברות ב"י</w:t>
      </w:r>
    </w:p>
    <w:sectPr w:rsidR="00BA26A8" w:rsidRPr="00BB3891" w:rsidSect="00E553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70"/>
    <w:rsid w:val="000C7C73"/>
    <w:rsid w:val="00124B07"/>
    <w:rsid w:val="001314C5"/>
    <w:rsid w:val="0013425B"/>
    <w:rsid w:val="00154733"/>
    <w:rsid w:val="0018141F"/>
    <w:rsid w:val="001815FD"/>
    <w:rsid w:val="001F1F21"/>
    <w:rsid w:val="001F7D01"/>
    <w:rsid w:val="00245574"/>
    <w:rsid w:val="002B029F"/>
    <w:rsid w:val="002B3DEA"/>
    <w:rsid w:val="00301655"/>
    <w:rsid w:val="003148C4"/>
    <w:rsid w:val="003B0C32"/>
    <w:rsid w:val="00467AFD"/>
    <w:rsid w:val="004B2E27"/>
    <w:rsid w:val="004B578E"/>
    <w:rsid w:val="004B7E5F"/>
    <w:rsid w:val="00537DE1"/>
    <w:rsid w:val="005813AC"/>
    <w:rsid w:val="005B5B0F"/>
    <w:rsid w:val="00615A4C"/>
    <w:rsid w:val="006B49EF"/>
    <w:rsid w:val="00762018"/>
    <w:rsid w:val="0079570B"/>
    <w:rsid w:val="007A53CE"/>
    <w:rsid w:val="007B42D3"/>
    <w:rsid w:val="007E14C5"/>
    <w:rsid w:val="008330F4"/>
    <w:rsid w:val="008563F7"/>
    <w:rsid w:val="00860E1A"/>
    <w:rsid w:val="00887F9E"/>
    <w:rsid w:val="008C7D05"/>
    <w:rsid w:val="00934A8B"/>
    <w:rsid w:val="009F2B70"/>
    <w:rsid w:val="00A23D88"/>
    <w:rsid w:val="00A670F4"/>
    <w:rsid w:val="00A82C59"/>
    <w:rsid w:val="00A96B61"/>
    <w:rsid w:val="00AD0E4F"/>
    <w:rsid w:val="00B05410"/>
    <w:rsid w:val="00B32FE1"/>
    <w:rsid w:val="00B87A51"/>
    <w:rsid w:val="00B93525"/>
    <w:rsid w:val="00BA26A8"/>
    <w:rsid w:val="00BB3891"/>
    <w:rsid w:val="00C054E3"/>
    <w:rsid w:val="00C50C6E"/>
    <w:rsid w:val="00CD46B8"/>
    <w:rsid w:val="00CF2164"/>
    <w:rsid w:val="00CF28B5"/>
    <w:rsid w:val="00D9268A"/>
    <w:rsid w:val="00E17705"/>
    <w:rsid w:val="00E271D6"/>
    <w:rsid w:val="00E4318C"/>
    <w:rsid w:val="00E55323"/>
    <w:rsid w:val="00E572B5"/>
    <w:rsid w:val="00E85E77"/>
    <w:rsid w:val="00E86F64"/>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9F45"/>
  <w15:chartTrackingRefBased/>
  <w15:docId w15:val="{89B94E0F-F0D0-47EF-9096-A9A3BEF0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C6E"/>
    <w:pPr>
      <w:spacing w:after="0" w:line="240" w:lineRule="auto"/>
    </w:pPr>
    <w:rPr>
      <w:rFonts w:ascii="Times New Roman" w:eastAsia="Times New Roman" w:hAnsi="Times New Roman" w:cs="Times New Roman" w:hint="cs"/>
      <w:sz w:val="24"/>
      <w:szCs w:val="24"/>
      <w:lang w:eastAsia="he-IL"/>
    </w:rPr>
  </w:style>
  <w:style w:type="paragraph" w:styleId="1">
    <w:name w:val="heading 1"/>
    <w:basedOn w:val="a"/>
    <w:next w:val="a"/>
    <w:link w:val="10"/>
    <w:qFormat/>
    <w:rsid w:val="00C50C6E"/>
    <w:pPr>
      <w:keepNext/>
      <w:keepLines/>
      <w:spacing w:before="480"/>
      <w:outlineLvl w:val="0"/>
    </w:pPr>
    <w:rPr>
      <w:rFonts w:asciiTheme="majorHAnsi" w:eastAsiaTheme="majorEastAsia" w:hAnsiTheme="majorHAnsi"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50C6E"/>
    <w:rPr>
      <w:rFonts w:asciiTheme="majorHAnsi" w:eastAsiaTheme="majorEastAsia" w:hAnsiTheme="majorHAnsi" w:cs="David"/>
      <w:b/>
      <w:bCs/>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762555180350351697956230" TargetMode="External"/><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21AE693-6B76-4544-9199-E9CDB09AC1C9}"/>
</file>

<file path=customXml/itemProps2.xml><?xml version="1.0" encoding="utf-8"?>
<ds:datastoreItem xmlns:ds="http://schemas.openxmlformats.org/officeDocument/2006/customXml" ds:itemID="{C45A3491-54F3-48ED-8185-C7B65CE5D5A0}"/>
</file>

<file path=customXml/itemProps3.xml><?xml version="1.0" encoding="utf-8"?>
<ds:datastoreItem xmlns:ds="http://schemas.openxmlformats.org/officeDocument/2006/customXml" ds:itemID="{AB949E2B-91C1-4FA4-B7D1-A088014E4B5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1635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דהן</dc:creator>
  <cp:keywords/>
  <dc:description/>
  <cp:lastModifiedBy>internet</cp:lastModifiedBy>
  <cp:revision>2</cp:revision>
  <dcterms:created xsi:type="dcterms:W3CDTF">2022-10-30T12:52:00Z</dcterms:created>
  <dcterms:modified xsi:type="dcterms:W3CDTF">2022-10-30T12:52:00Z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