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0CD9A423" w14:textId="6F436E07" w:rsidR="007617BD" w:rsidRDefault="00E87F93" w:rsidP="00536B03">
      <w:pPr>
        <w:pStyle w:val="regpar"/>
        <w:jc w:val="right"/>
      </w:pPr>
      <w:r>
        <w:t xml:space="preserve">November </w:t>
      </w:r>
      <w:r w:rsidR="00536B03">
        <w:t>19</w:t>
      </w:r>
      <w:r w:rsidR="0080149A">
        <w:t>, 2023</w:t>
      </w:r>
    </w:p>
    <w:p w14:paraId="11E11D97" w14:textId="77777777" w:rsidR="00CD297A" w:rsidRDefault="00CD297A" w:rsidP="00CD297A">
      <w:pPr>
        <w:pStyle w:val="regpar"/>
        <w:jc w:val="center"/>
      </w:pPr>
    </w:p>
    <w:p w14:paraId="3B272440" w14:textId="77777777" w:rsidR="00536B03" w:rsidRPr="00536B03" w:rsidRDefault="00CD297A" w:rsidP="00536B03">
      <w:pPr>
        <w:bidi/>
        <w:spacing w:line="360" w:lineRule="auto"/>
        <w:ind w:left="-1050" w:right="-851"/>
        <w:jc w:val="center"/>
        <w:rPr>
          <w:rFonts w:ascii="David" w:hAnsi="David" w:cs="David"/>
          <w:b/>
          <w:bCs/>
          <w:color w:val="244061" w:themeColor="accent1" w:themeShade="80"/>
          <w:sz w:val="72"/>
          <w:szCs w:val="72"/>
        </w:rPr>
      </w:pPr>
      <w:r w:rsidRPr="00536B03">
        <w:rPr>
          <w:rFonts w:ascii="David" w:hAnsi="David" w:cs="David"/>
          <w:b/>
          <w:bCs/>
          <w:color w:val="244061" w:themeColor="accent1" w:themeShade="80"/>
          <w:sz w:val="72"/>
          <w:szCs w:val="72"/>
        </w:rPr>
        <w:t>C</w:t>
      </w:r>
      <w:r w:rsidR="00DD1761" w:rsidRPr="00536B03">
        <w:rPr>
          <w:rFonts w:ascii="David" w:hAnsi="David" w:cs="David"/>
          <w:b/>
          <w:bCs/>
          <w:color w:val="244061" w:themeColor="accent1" w:themeShade="80"/>
          <w:sz w:val="72"/>
          <w:szCs w:val="72"/>
        </w:rPr>
        <w:t xml:space="preserve">all for public consultation </w:t>
      </w:r>
      <w:r w:rsidRPr="00536B03">
        <w:rPr>
          <w:rFonts w:ascii="David" w:hAnsi="David" w:cs="David"/>
          <w:b/>
          <w:bCs/>
          <w:color w:val="244061" w:themeColor="accent1" w:themeShade="80"/>
          <w:sz w:val="72"/>
          <w:szCs w:val="72"/>
        </w:rPr>
        <w:t>–</w:t>
      </w:r>
    </w:p>
    <w:p w14:paraId="05D5D0DA" w14:textId="5D7B929D" w:rsidR="00CD297A" w:rsidRPr="00536B03" w:rsidRDefault="00CD297A" w:rsidP="00536B03">
      <w:pPr>
        <w:bidi/>
        <w:spacing w:line="360" w:lineRule="auto"/>
        <w:ind w:left="-1050" w:right="-851"/>
        <w:jc w:val="center"/>
        <w:rPr>
          <w:rFonts w:ascii="David" w:hAnsi="David" w:cs="David"/>
          <w:b/>
          <w:bCs/>
          <w:color w:val="244061" w:themeColor="accent1" w:themeShade="80"/>
          <w:sz w:val="52"/>
          <w:szCs w:val="52"/>
        </w:rPr>
      </w:pPr>
      <w:r w:rsidRPr="00536B03">
        <w:rPr>
          <w:rFonts w:ascii="David" w:hAnsi="David" w:cs="David"/>
          <w:b/>
          <w:bCs/>
          <w:color w:val="244061" w:themeColor="accent1" w:themeShade="80"/>
          <w:sz w:val="52"/>
          <w:szCs w:val="52"/>
        </w:rPr>
        <w:t xml:space="preserve"> </w:t>
      </w:r>
      <w:r w:rsidR="00DD1761" w:rsidRPr="00536B03">
        <w:rPr>
          <w:rFonts w:ascii="David" w:hAnsi="David" w:cs="David"/>
          <w:b/>
          <w:bCs/>
          <w:color w:val="244061" w:themeColor="accent1" w:themeShade="80"/>
          <w:sz w:val="52"/>
          <w:szCs w:val="52"/>
        </w:rPr>
        <w:t>The identification c</w:t>
      </w:r>
      <w:r w:rsidRPr="00536B03">
        <w:rPr>
          <w:rFonts w:ascii="David" w:hAnsi="David" w:cs="David"/>
          <w:b/>
          <w:bCs/>
          <w:color w:val="244061" w:themeColor="accent1" w:themeShade="80"/>
          <w:sz w:val="52"/>
          <w:szCs w:val="52"/>
        </w:rPr>
        <w:t>ode</w:t>
      </w:r>
      <w:r w:rsidR="00DD1761" w:rsidRPr="00536B03">
        <w:rPr>
          <w:rFonts w:ascii="David" w:hAnsi="David" w:cs="David"/>
          <w:b/>
          <w:bCs/>
          <w:color w:val="244061" w:themeColor="accent1" w:themeShade="80"/>
          <w:sz w:val="52"/>
          <w:szCs w:val="52"/>
        </w:rPr>
        <w:t xml:space="preserve"> used by banking corporations and nonbank entities to</w:t>
      </w:r>
      <w:r w:rsidR="00E501CF" w:rsidRPr="00536B03">
        <w:rPr>
          <w:rFonts w:ascii="David" w:hAnsi="David" w:cs="David"/>
          <w:b/>
          <w:bCs/>
          <w:color w:val="244061" w:themeColor="accent1" w:themeShade="80"/>
          <w:sz w:val="52"/>
          <w:szCs w:val="52"/>
        </w:rPr>
        <w:t xml:space="preserve"> connect to the payment systems</w:t>
      </w:r>
    </w:p>
    <w:p w14:paraId="06576DCB" w14:textId="77777777" w:rsidR="00CD297A" w:rsidRPr="00536B03" w:rsidRDefault="00CD297A" w:rsidP="00536B03">
      <w:pPr>
        <w:bidi/>
        <w:spacing w:line="360" w:lineRule="auto"/>
        <w:ind w:left="-142" w:right="142"/>
        <w:jc w:val="center"/>
        <w:rPr>
          <w:rFonts w:ascii="David" w:hAnsi="David" w:cs="David"/>
          <w:b/>
          <w:bCs/>
          <w:color w:val="244061" w:themeColor="accent1" w:themeShade="80"/>
          <w:sz w:val="28"/>
          <w:szCs w:val="28"/>
        </w:rPr>
      </w:pPr>
    </w:p>
    <w:p w14:paraId="79A91A02" w14:textId="241CBD26" w:rsidR="00476648" w:rsidRDefault="00DD1761" w:rsidP="00536B03">
      <w:pPr>
        <w:bidi/>
        <w:spacing w:line="360" w:lineRule="auto"/>
        <w:ind w:left="-142" w:right="142"/>
        <w:jc w:val="center"/>
        <w:rPr>
          <w:rFonts w:ascii="David" w:hAnsi="David" w:cs="David"/>
          <w:b/>
          <w:bCs/>
          <w:color w:val="244061" w:themeColor="accent1" w:themeShade="80"/>
          <w:sz w:val="28"/>
          <w:szCs w:val="28"/>
        </w:rPr>
      </w:pPr>
      <w:r w:rsidRPr="00536B03">
        <w:rPr>
          <w:rFonts w:ascii="David" w:hAnsi="David" w:cs="David"/>
          <w:b/>
          <w:bCs/>
          <w:color w:val="244061" w:themeColor="accent1" w:themeShade="80"/>
          <w:sz w:val="28"/>
          <w:szCs w:val="28"/>
        </w:rPr>
        <w:t>The public and relevant financial entities who make use of identification codes are invited to respond to questions and to provide other relevant information to the Bank of Israel regarding the expansion</w:t>
      </w:r>
      <w:r w:rsidR="00E501CF" w:rsidRPr="00536B03">
        <w:rPr>
          <w:rFonts w:ascii="David" w:hAnsi="David" w:cs="David"/>
          <w:b/>
          <w:bCs/>
          <w:color w:val="244061" w:themeColor="accent1" w:themeShade="80"/>
          <w:sz w:val="28"/>
          <w:szCs w:val="28"/>
        </w:rPr>
        <w:t xml:space="preserve"> that is expected to be completed on January 1, 2027</w:t>
      </w:r>
      <w:r w:rsidRPr="00536B03">
        <w:rPr>
          <w:rFonts w:ascii="David" w:hAnsi="David" w:cs="David"/>
          <w:b/>
          <w:bCs/>
          <w:color w:val="244061" w:themeColor="accent1" w:themeShade="80"/>
          <w:sz w:val="28"/>
          <w:szCs w:val="28"/>
        </w:rPr>
        <w:t>.  A notice on how the identification codes will be expanded will be published in July 2024.</w:t>
      </w:r>
    </w:p>
    <w:p w14:paraId="7D91256B" w14:textId="77777777" w:rsidR="00536B03" w:rsidRPr="00536B03" w:rsidRDefault="00536B03" w:rsidP="00536B03">
      <w:pPr>
        <w:pStyle w:val="regpar"/>
        <w:bidi/>
      </w:pPr>
    </w:p>
    <w:p w14:paraId="0CBC0566" w14:textId="2427CB96" w:rsidR="00536B03" w:rsidRPr="00536B03" w:rsidRDefault="00536B03" w:rsidP="00536B03">
      <w:pPr>
        <w:pStyle w:val="regpar"/>
        <w:ind w:firstLine="0"/>
        <w:jc w:val="center"/>
        <w:rPr>
          <w:b/>
          <w:bCs/>
          <w:sz w:val="28"/>
          <w:szCs w:val="28"/>
        </w:rPr>
      </w:pPr>
    </w:p>
    <w:p w14:paraId="14DE59FD" w14:textId="210169C4" w:rsidR="00536B03" w:rsidRPr="00536B03" w:rsidRDefault="00536B03" w:rsidP="00536B03">
      <w:pPr>
        <w:bidi/>
        <w:spacing w:line="360" w:lineRule="auto"/>
        <w:ind w:left="-142" w:right="142"/>
        <w:jc w:val="center"/>
        <w:rPr>
          <w:rFonts w:ascii="David" w:hAnsi="David" w:cs="David"/>
          <w:b/>
          <w:bCs/>
          <w:color w:val="244061" w:themeColor="accent1" w:themeShade="80"/>
          <w:sz w:val="28"/>
          <w:szCs w:val="28"/>
        </w:rPr>
      </w:pPr>
      <w:r w:rsidRPr="00536B03">
        <w:rPr>
          <w:rFonts w:ascii="David" w:hAnsi="David" w:cs="David"/>
          <w:b/>
          <w:bCs/>
          <w:color w:val="244061" w:themeColor="accent1" w:themeShade="80"/>
          <w:sz w:val="28"/>
          <w:szCs w:val="28"/>
        </w:rPr>
        <w:t>November 2023</w:t>
      </w:r>
    </w:p>
    <w:p w14:paraId="2C50D945" w14:textId="02CD310A" w:rsidR="00536B03" w:rsidRDefault="00536B03">
      <w:pPr>
        <w:spacing w:line="240" w:lineRule="auto"/>
        <w:jc w:val="left"/>
        <w:rPr>
          <w:b/>
          <w:bCs/>
        </w:rPr>
      </w:pPr>
      <w:r w:rsidRPr="00536B03">
        <w:rPr>
          <w:b/>
          <w:bCs/>
          <w:noProof/>
        </w:rPr>
        <mc:AlternateContent>
          <mc:Choice Requires="wps">
            <w:drawing>
              <wp:anchor distT="0" distB="0" distL="114300" distR="114300" simplePos="0" relativeHeight="251660288" behindDoc="0" locked="0" layoutInCell="1" allowOverlap="1" wp14:anchorId="060971A4" wp14:editId="318EB952">
                <wp:simplePos x="0" y="0"/>
                <wp:positionH relativeFrom="margin">
                  <wp:posOffset>3404151</wp:posOffset>
                </wp:positionH>
                <wp:positionV relativeFrom="paragraph">
                  <wp:posOffset>237850</wp:posOffset>
                </wp:positionV>
                <wp:extent cx="1914525" cy="2397868"/>
                <wp:effectExtent l="0" t="0" r="28575" b="21590"/>
                <wp:wrapNone/>
                <wp:docPr id="5" name="Rectangle 4">
                  <a:extLst xmlns:a="http://schemas.openxmlformats.org/drawingml/2006/main">
                    <a:ext uri="{FF2B5EF4-FFF2-40B4-BE49-F238E27FC236}">
                      <a16:creationId xmlns:a16="http://schemas.microsoft.com/office/drawing/2014/main" id="{AAE608D2-4171-32B5-D529-F9F75D12D44A}"/>
                    </a:ext>
                  </a:extLst>
                </wp:docPr>
                <wp:cNvGraphicFramePr/>
                <a:graphic xmlns:a="http://schemas.openxmlformats.org/drawingml/2006/main">
                  <a:graphicData uri="http://schemas.microsoft.com/office/word/2010/wordprocessingShape">
                    <wps:wsp>
                      <wps:cNvSpPr/>
                      <wps:spPr>
                        <a:xfrm>
                          <a:off x="0" y="0"/>
                          <a:ext cx="1914525" cy="2397868"/>
                        </a:xfrm>
                        <a:prstGeom prst="rect">
                          <a:avLst/>
                        </a:prstGeom>
                        <a:solidFill>
                          <a:srgbClr val="084A5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707F07D" id="Rectangle 4" o:spid="_x0000_s1026" style="position:absolute;left:0;text-align:left;margin-left:268.05pt;margin-top:18.75pt;width:150.75pt;height:18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" fillcolor="#084a56" strokecolor="#243f60 [1604]" strokeweight="2pt">
                <w10:wrap anchorx="margin"/>
              </v:rect>
            </w:pict>
          </mc:Fallback>
        </mc:AlternateContent>
      </w:r>
      <w:r w:rsidRPr="00536B03">
        <w:rPr>
          <w:b/>
          <w:bCs/>
          <w:noProof/>
        </w:rPr>
        <w:drawing>
          <wp:anchor distT="0" distB="0" distL="114300" distR="114300" simplePos="0" relativeHeight="251659264" behindDoc="0" locked="0" layoutInCell="1" allowOverlap="1" wp14:anchorId="71325057" wp14:editId="735BF31E">
            <wp:simplePos x="0" y="0"/>
            <wp:positionH relativeFrom="margin">
              <wp:posOffset>902490</wp:posOffset>
            </wp:positionH>
            <wp:positionV relativeFrom="paragraph">
              <wp:posOffset>229224</wp:posOffset>
            </wp:positionV>
            <wp:extent cx="2501265" cy="2424754"/>
            <wp:effectExtent l="0" t="0" r="0" b="0"/>
            <wp:wrapNone/>
            <wp:docPr id="2" name="Picture 1">
              <a:extLst xmlns:a="http://schemas.openxmlformats.org/drawingml/2006/main">
                <a:ext uri="{FF2B5EF4-FFF2-40B4-BE49-F238E27FC236}">
                  <a16:creationId xmlns:a16="http://schemas.microsoft.com/office/drawing/2014/main" id="{63EA9416-4E9D-DCF8-DBC4-04B25D9F19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EA9416-4E9D-DCF8-DBC4-04B25D9F196C}"/>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flipH="1">
                      <a:off x="0" y="0"/>
                      <a:ext cx="2502943" cy="2426380"/>
                    </a:xfrm>
                    <a:prstGeom prst="rect">
                      <a:avLst/>
                    </a:prstGeom>
                  </pic:spPr>
                </pic:pic>
              </a:graphicData>
            </a:graphic>
            <wp14:sizeRelH relativeFrom="margin">
              <wp14:pctWidth>0</wp14:pctWidth>
            </wp14:sizeRelH>
            <wp14:sizeRelV relativeFrom="margin">
              <wp14:pctHeight>0</wp14:pctHeight>
            </wp14:sizeRelV>
          </wp:anchor>
        </w:drawing>
      </w:r>
      <w:r w:rsidRPr="00536B03">
        <w:rPr>
          <w:b/>
          <w:bCs/>
          <w:noProof/>
        </w:rPr>
        <w:drawing>
          <wp:anchor distT="0" distB="0" distL="114300" distR="114300" simplePos="0" relativeHeight="251661312" behindDoc="0" locked="0" layoutInCell="1" allowOverlap="1" wp14:anchorId="0462159E" wp14:editId="0BDF159B">
            <wp:simplePos x="0" y="0"/>
            <wp:positionH relativeFrom="margin">
              <wp:posOffset>3483610</wp:posOffset>
            </wp:positionH>
            <wp:positionV relativeFrom="paragraph">
              <wp:posOffset>514985</wp:posOffset>
            </wp:positionV>
            <wp:extent cx="1726565" cy="1781175"/>
            <wp:effectExtent l="0" t="0" r="6985" b="9525"/>
            <wp:wrapNone/>
            <wp:docPr id="3" name="תמונה 7">
              <a:extLst xmlns:a="http://schemas.openxmlformats.org/drawingml/2006/main">
                <a:ext uri="{FF2B5EF4-FFF2-40B4-BE49-F238E27FC236}">
                  <a16:creationId xmlns:a16="http://schemas.microsoft.com/office/drawing/2014/main" id="{0C4B4924-8739-74AE-B4EF-EBE0E06A7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7">
                      <a:extLst>
                        <a:ext uri="{FF2B5EF4-FFF2-40B4-BE49-F238E27FC236}">
                          <a16:creationId xmlns:a16="http://schemas.microsoft.com/office/drawing/2014/main" id="{0C4B4924-8739-74AE-B4EF-EBE0E06A7B6D}"/>
                        </a:ext>
                      </a:extLst>
                    </pic:cNvPr>
                    <pic:cNvPicPr>
                      <a:picLocks noChangeAspect="1"/>
                    </pic:cNvPicPr>
                  </pic:nvPicPr>
                  <pic:blipFill>
                    <a:blip r:embed="rId10" cstate="print">
                      <a:alphaModFix amt="18000"/>
                      <a:extLst>
                        <a:ext uri="{28A0092B-C50C-407E-A947-70E740481C1C}">
                          <a14:useLocalDpi xmlns:a14="http://schemas.microsoft.com/office/drawing/2010/main" val="0"/>
                        </a:ext>
                      </a:extLst>
                    </a:blip>
                    <a:stretch>
                      <a:fillRect/>
                    </a:stretch>
                  </pic:blipFill>
                  <pic:spPr>
                    <a:xfrm>
                      <a:off x="0" y="0"/>
                      <a:ext cx="1726565" cy="1781175"/>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412EDB71" w14:textId="77777777" w:rsidR="00536B03" w:rsidRPr="00B135AD" w:rsidRDefault="00536B03" w:rsidP="00E501CF">
      <w:pPr>
        <w:pStyle w:val="regpar"/>
        <w:ind w:firstLine="0"/>
        <w:rPr>
          <w:b/>
          <w:bCs/>
        </w:rPr>
      </w:pPr>
    </w:p>
    <w:p w14:paraId="03214DE0" w14:textId="77777777" w:rsidR="00DD1761" w:rsidRDefault="00DD1761" w:rsidP="00DD1761">
      <w:pPr>
        <w:pStyle w:val="regpar"/>
        <w:ind w:firstLine="0"/>
      </w:pPr>
    </w:p>
    <w:p w14:paraId="598549AD" w14:textId="4287BADB" w:rsidR="00DD1761" w:rsidRDefault="00B135AD" w:rsidP="00C322F7">
      <w:pPr>
        <w:pStyle w:val="regpar"/>
        <w:ind w:firstLine="0"/>
      </w:pPr>
      <w:r>
        <w:t>Every bank and financial entity is currently identified in the payment systems and peripheral systems using a two-digit identification code.</w:t>
      </w:r>
      <w:r w:rsidR="001F2FBD">
        <w:t xml:space="preserve">  In the past, this was known as a “bank code”, but in view of the multiplicity of nonbank entities requesting to participate in the payment systems, the Bank of Israel changed the name </w:t>
      </w:r>
      <w:r w:rsidR="0037258F">
        <w:t>to “identification code”.  The two-digit format of the code limits the number of participants in the financial systems</w:t>
      </w:r>
      <w:r w:rsidR="00C76CE2">
        <w:t xml:space="preserve"> to </w:t>
      </w:r>
      <w:r w:rsidR="00C322F7">
        <w:t>99</w:t>
      </w:r>
      <w:r w:rsidR="00C76CE2">
        <w:t xml:space="preserve">.  As part of a series of measures intended to increase competition in the Israeli economy, and in order to encourage more entities to join, it is necessary to expand the identification codes that currently exist.  </w:t>
      </w:r>
      <w:proofErr w:type="spellStart"/>
      <w:r w:rsidR="00C76CE2">
        <w:t>Th</w:t>
      </w:r>
      <w:proofErr w:type="spellEnd"/>
      <w:r w:rsidR="00C76CE2">
        <w:t xml:space="preserve"> expansion will be to a larger number of digits, which will provide a response for needs </w:t>
      </w:r>
      <w:r w:rsidR="00CD297A">
        <w:t xml:space="preserve">to connect to the payment systems </w:t>
      </w:r>
      <w:r w:rsidR="00C76CE2">
        <w:t>in the coming years, and will enable an increase in the number of financial participants.</w:t>
      </w:r>
    </w:p>
    <w:p w14:paraId="03445BDD" w14:textId="77777777" w:rsidR="00CD297A" w:rsidRDefault="00CD297A" w:rsidP="00DD1761">
      <w:pPr>
        <w:pStyle w:val="regpar"/>
        <w:ind w:firstLine="0"/>
      </w:pPr>
    </w:p>
    <w:p w14:paraId="36BA92FA" w14:textId="0CF44722" w:rsidR="00CD297A" w:rsidRDefault="00075CAB" w:rsidP="00DD1761">
      <w:pPr>
        <w:pStyle w:val="regpar"/>
        <w:ind w:firstLine="0"/>
      </w:pPr>
      <w:r>
        <w:t>The Bank of Israel invites the public and relevant financial institutions who use identification codes to send in positions and responses to the questions in this document, as well as additional information regarding the expected expansion.</w:t>
      </w:r>
    </w:p>
    <w:p w14:paraId="116F3B07" w14:textId="77777777" w:rsidR="00075CAB" w:rsidRDefault="00075CAB" w:rsidP="00DD1761">
      <w:pPr>
        <w:pStyle w:val="regpar"/>
        <w:ind w:firstLine="0"/>
      </w:pPr>
    </w:p>
    <w:p w14:paraId="4EE373CE" w14:textId="049EA6C9" w:rsidR="00075CAB" w:rsidRDefault="00075CAB" w:rsidP="00DD1761">
      <w:pPr>
        <w:pStyle w:val="regpar"/>
        <w:ind w:firstLine="0"/>
      </w:pPr>
      <w:r>
        <w:t>A notice on how the identifications codes will be expanded will be published in July 2024.</w:t>
      </w:r>
    </w:p>
    <w:p w14:paraId="721AA13C" w14:textId="77777777" w:rsidR="00075CAB" w:rsidRDefault="00075CAB" w:rsidP="00DD1761">
      <w:pPr>
        <w:pStyle w:val="regpar"/>
        <w:ind w:firstLine="0"/>
      </w:pPr>
    </w:p>
    <w:p w14:paraId="12169CAF" w14:textId="77777777" w:rsidR="00075CAB" w:rsidRDefault="00075CAB" w:rsidP="00DD1761">
      <w:pPr>
        <w:pStyle w:val="regpar"/>
        <w:ind w:firstLine="0"/>
      </w:pPr>
    </w:p>
    <w:p w14:paraId="0A7277B3" w14:textId="41AD33B6" w:rsidR="00075CAB" w:rsidRDefault="00075CAB" w:rsidP="00DD1761">
      <w:pPr>
        <w:pStyle w:val="regpar"/>
        <w:ind w:firstLine="0"/>
      </w:pPr>
      <w:r>
        <w:rPr>
          <w:u w:val="single"/>
        </w:rPr>
        <w:t>In order to formulate an optimal solution and decision on how to expand the identification codes, we would appreciate your responses to the following questions, as well as other relevant information that can contribute to the decision-making process.</w:t>
      </w:r>
    </w:p>
    <w:p w14:paraId="6E7D4F9D" w14:textId="77777777" w:rsidR="00F81C48" w:rsidRDefault="00F81C48" w:rsidP="00DD1761">
      <w:pPr>
        <w:pStyle w:val="regpar"/>
        <w:ind w:firstLine="0"/>
      </w:pPr>
    </w:p>
    <w:p w14:paraId="15A58428" w14:textId="604330E1" w:rsidR="00F81C48" w:rsidRDefault="00F81C48" w:rsidP="00F81C48">
      <w:pPr>
        <w:pStyle w:val="regpar"/>
        <w:numPr>
          <w:ilvl w:val="0"/>
          <w:numId w:val="17"/>
        </w:numPr>
      </w:pPr>
      <w:r>
        <w:t>In what systems and interfaces do you use an identification code?</w:t>
      </w:r>
    </w:p>
    <w:p w14:paraId="675C330D" w14:textId="1B1D0BA0" w:rsidR="00F81C48" w:rsidRDefault="00F81C48" w:rsidP="00F81C48">
      <w:pPr>
        <w:pStyle w:val="regpar"/>
        <w:numPr>
          <w:ilvl w:val="0"/>
          <w:numId w:val="17"/>
        </w:numPr>
      </w:pPr>
      <w:r>
        <w:t>How many characters exist for the identification code in each of the organization’s systems that were mentioned?</w:t>
      </w:r>
    </w:p>
    <w:p w14:paraId="5C0DFF37" w14:textId="1379B400" w:rsidR="00F81C48" w:rsidRDefault="00F81C48" w:rsidP="00F81C48">
      <w:pPr>
        <w:pStyle w:val="regpar"/>
        <w:numPr>
          <w:ilvl w:val="0"/>
          <w:numId w:val="17"/>
        </w:numPr>
      </w:pPr>
      <w:r>
        <w:t>The expansion options of which we are currently aware are increasing the number of characters (to between 3 and 12 characters), a move to an alphanumeric structure, use of an IBAN number, and use of the branch field (</w:t>
      </w:r>
      <w:r w:rsidR="00D7346B">
        <w:t>while removing this field from the account identification).  What type of expansion is optimal from your point of view?</w:t>
      </w:r>
    </w:p>
    <w:p w14:paraId="41EE72EC" w14:textId="1F6A7C2B" w:rsidR="00D7346B" w:rsidRDefault="00D7346B" w:rsidP="00F81C48">
      <w:pPr>
        <w:pStyle w:val="regpar"/>
        <w:numPr>
          <w:ilvl w:val="0"/>
          <w:numId w:val="17"/>
        </w:numPr>
      </w:pPr>
      <w:r>
        <w:t>Do you have other suggestions for the expansion?</w:t>
      </w:r>
    </w:p>
    <w:p w14:paraId="149BFE67" w14:textId="685F69A1" w:rsidR="00D7346B" w:rsidRDefault="00D7346B" w:rsidP="00F81C48">
      <w:pPr>
        <w:pStyle w:val="regpar"/>
        <w:numPr>
          <w:ilvl w:val="0"/>
          <w:numId w:val="17"/>
        </w:numPr>
      </w:pPr>
      <w:r>
        <w:t>From your point of view, does expansion of the number of characters (to between 3 and 12 characters) affect the complexity of the solution and how it is implemented?</w:t>
      </w:r>
    </w:p>
    <w:p w14:paraId="2C93EB1E" w14:textId="6AB84C59" w:rsidR="00D7346B" w:rsidRDefault="004511A4" w:rsidP="00F81C48">
      <w:pPr>
        <w:pStyle w:val="regpar"/>
        <w:numPr>
          <w:ilvl w:val="0"/>
          <w:numId w:val="17"/>
        </w:numPr>
      </w:pPr>
      <w:r>
        <w:t>What is your estimate of the resources that will be necessary to make the expansion (increase in the number of characters) within the planned timeframe (ending in December 2026)?</w:t>
      </w:r>
    </w:p>
    <w:p w14:paraId="6894627A" w14:textId="0BDB4DF6" w:rsidR="004511A4" w:rsidRDefault="004511A4" w:rsidP="00F81C48">
      <w:pPr>
        <w:pStyle w:val="regpar"/>
        <w:numPr>
          <w:ilvl w:val="0"/>
          <w:numId w:val="17"/>
        </w:numPr>
      </w:pPr>
      <w:r>
        <w:t>Does the decision on the format of the expansion (between 3 and 12 characters) affect the amount of resources necessary?  If yes, please describe the differences?</w:t>
      </w:r>
    </w:p>
    <w:p w14:paraId="03548119" w14:textId="7385503D" w:rsidR="004511A4" w:rsidRDefault="004511A4" w:rsidP="00F81C48">
      <w:pPr>
        <w:pStyle w:val="regpar"/>
        <w:numPr>
          <w:ilvl w:val="0"/>
          <w:numId w:val="17"/>
        </w:numPr>
      </w:pPr>
      <w:r>
        <w:t>Would you be interested in participating in the team entrusted with the expansion program?  If yes, please provide complete details of a contact person (full name, mobile number, position, email address).</w:t>
      </w:r>
    </w:p>
    <w:p w14:paraId="3E8987F1" w14:textId="77777777" w:rsidR="00BA53E2" w:rsidRDefault="00BA53E2" w:rsidP="00BA53E2">
      <w:pPr>
        <w:pStyle w:val="regpar"/>
        <w:ind w:firstLine="0"/>
      </w:pPr>
    </w:p>
    <w:p w14:paraId="41AC003D" w14:textId="77777777" w:rsidR="00BA53E2" w:rsidRDefault="00BA53E2" w:rsidP="00BA53E2">
      <w:pPr>
        <w:pStyle w:val="regpar"/>
        <w:ind w:firstLine="0"/>
      </w:pPr>
    </w:p>
    <w:p w14:paraId="425CB114" w14:textId="65F65D0D" w:rsidR="00BA53E2" w:rsidRDefault="00BA53E2" w:rsidP="00BA53E2">
      <w:pPr>
        <w:pStyle w:val="regpar"/>
        <w:ind w:firstLine="0"/>
      </w:pPr>
      <w:r>
        <w:t xml:space="preserve">The public is invited to respond to this call for consultation, and to contact us at </w:t>
      </w:r>
      <w:hyperlink r:id="rId11" w:history="1">
        <w:r w:rsidRPr="00AD7197">
          <w:rPr>
            <w:rStyle w:val="Hyperlink"/>
          </w:rPr>
          <w:t>bank.kod@boi.org.il</w:t>
        </w:r>
      </w:hyperlink>
      <w:r>
        <w:t xml:space="preserve"> with any questions or points of clarification.</w:t>
      </w:r>
    </w:p>
    <w:p w14:paraId="78130DC3" w14:textId="77777777" w:rsidR="00BA53E2" w:rsidRDefault="00BA53E2" w:rsidP="00BA53E2">
      <w:pPr>
        <w:pStyle w:val="regpar"/>
        <w:ind w:firstLine="0"/>
      </w:pPr>
    </w:p>
    <w:p w14:paraId="48A5BEF4" w14:textId="53D63431" w:rsidR="00BA53E2" w:rsidRPr="00F81C48" w:rsidRDefault="00BA53E2" w:rsidP="00BA53E2">
      <w:pPr>
        <w:pStyle w:val="regpar"/>
        <w:ind w:firstLine="0"/>
      </w:pPr>
      <w:r>
        <w:t>Please note the following details:  Name and position of the person making the enquiry, organization name, and email address.  Responses will be accepted until January 31, 2024.</w:t>
      </w:r>
    </w:p>
    <w:sectPr w:rsidR="00BA53E2" w:rsidRPr="00F81C48" w:rsidSect="004F5A85">
      <w:headerReference w:type="even" r:id="rId12"/>
      <w:headerReference w:type="default" r:id="rId13"/>
      <w:footerReference w:type="even" r:id="rId14"/>
      <w:footerReference w:type="default" r:id="rId15"/>
      <w:headerReference w:type="first" r:id="rId16"/>
      <w:footerReference w:type="firs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C096" w14:textId="77777777" w:rsidR="000A7272" w:rsidRDefault="000A7272">
      <w:pPr>
        <w:spacing w:line="240" w:lineRule="auto"/>
      </w:pPr>
      <w:r>
        <w:separator/>
      </w:r>
    </w:p>
  </w:endnote>
  <w:endnote w:type="continuationSeparator" w:id="0">
    <w:p w14:paraId="5609DBEB" w14:textId="77777777" w:rsidR="000A7272" w:rsidRDefault="000A7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4788" w14:textId="77777777" w:rsidR="00CB19AB" w:rsidRDefault="00CB19A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29534"/>
      <w:docPartObj>
        <w:docPartGallery w:val="Page Numbers (Bottom of Page)"/>
        <w:docPartUnique/>
      </w:docPartObj>
    </w:sdtPr>
    <w:sdtEndPr>
      <w:rPr>
        <w:cs/>
      </w:rPr>
    </w:sdtEndPr>
    <w:sdtContent>
      <w:p w14:paraId="6A014A86" w14:textId="7EA7581E" w:rsidR="00536B03" w:rsidRDefault="00536B03">
        <w:pPr>
          <w:pStyle w:val="a3"/>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CB19AB" w:rsidRPr="00CB19AB">
          <w:rPr>
            <w:noProof/>
            <w:lang w:val="he-IL"/>
          </w:rPr>
          <w:t>2</w:t>
        </w:r>
        <w:r>
          <w:fldChar w:fldCharType="end"/>
        </w:r>
      </w:p>
    </w:sdtContent>
  </w:sdt>
  <w:p w14:paraId="1B8EA4ED" w14:textId="77777777" w:rsidR="00536B03" w:rsidRDefault="00536B0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5D43" w14:textId="77777777" w:rsidR="00CB19AB" w:rsidRDefault="00CB19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EC62" w14:textId="77777777" w:rsidR="000A7272" w:rsidRDefault="000A7272">
      <w:pPr>
        <w:spacing w:line="160" w:lineRule="exact"/>
      </w:pPr>
    </w:p>
  </w:footnote>
  <w:footnote w:type="continuationSeparator" w:id="0">
    <w:p w14:paraId="7552906D" w14:textId="77777777" w:rsidR="000A7272" w:rsidRDefault="000A7272">
      <w:pPr>
        <w:pStyle w:val="rule"/>
      </w:pPr>
      <w:r>
        <w:t>–––––––––––––––––––––––––––</w:t>
      </w:r>
    </w:p>
    <w:p w14:paraId="7B7BA280" w14:textId="77777777" w:rsidR="000A7272" w:rsidRDefault="000A7272">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8F16" w14:textId="77777777" w:rsidR="00CB19AB" w:rsidRDefault="00CB19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6722" w14:textId="77777777" w:rsidR="00CB19AB" w:rsidRDefault="00CB19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1BE568DA"/>
    <w:multiLevelType w:val="hybridMultilevel"/>
    <w:tmpl w:val="3954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1654C"/>
    <w:multiLevelType w:val="hybridMultilevel"/>
    <w:tmpl w:val="B9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303D2"/>
    <w:multiLevelType w:val="hybridMultilevel"/>
    <w:tmpl w:val="60447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69512191"/>
    <w:multiLevelType w:val="hybridMultilevel"/>
    <w:tmpl w:val="C7105C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3"/>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5"/>
  </w:num>
  <w:num w:numId="11">
    <w:abstractNumId w:val="10"/>
  </w:num>
  <w:num w:numId="12">
    <w:abstractNumId w:val="7"/>
  </w:num>
  <w:num w:numId="13">
    <w:abstractNumId w:val="2"/>
  </w:num>
  <w:num w:numId="14">
    <w:abstractNumId w:val="9"/>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5CAB"/>
    <w:rsid w:val="00076856"/>
    <w:rsid w:val="00077915"/>
    <w:rsid w:val="00085873"/>
    <w:rsid w:val="00085E93"/>
    <w:rsid w:val="0009048D"/>
    <w:rsid w:val="00093619"/>
    <w:rsid w:val="00093A61"/>
    <w:rsid w:val="00094FFA"/>
    <w:rsid w:val="000A0AE8"/>
    <w:rsid w:val="000A7272"/>
    <w:rsid w:val="000B2451"/>
    <w:rsid w:val="000B5143"/>
    <w:rsid w:val="000C1242"/>
    <w:rsid w:val="000C495D"/>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181"/>
    <w:rsid w:val="00194F7F"/>
    <w:rsid w:val="001A2237"/>
    <w:rsid w:val="001A6127"/>
    <w:rsid w:val="001B0294"/>
    <w:rsid w:val="001C1743"/>
    <w:rsid w:val="001C209A"/>
    <w:rsid w:val="001C502E"/>
    <w:rsid w:val="001C5614"/>
    <w:rsid w:val="001D307D"/>
    <w:rsid w:val="001D57CD"/>
    <w:rsid w:val="001D5EBA"/>
    <w:rsid w:val="001E2931"/>
    <w:rsid w:val="001E6D0C"/>
    <w:rsid w:val="001F28E6"/>
    <w:rsid w:val="001F2FBD"/>
    <w:rsid w:val="001F51F4"/>
    <w:rsid w:val="00203B3D"/>
    <w:rsid w:val="00210F11"/>
    <w:rsid w:val="00212EBE"/>
    <w:rsid w:val="00223877"/>
    <w:rsid w:val="00236391"/>
    <w:rsid w:val="00243044"/>
    <w:rsid w:val="00246FA7"/>
    <w:rsid w:val="00250C32"/>
    <w:rsid w:val="0025222B"/>
    <w:rsid w:val="00263AC9"/>
    <w:rsid w:val="00275B82"/>
    <w:rsid w:val="00276225"/>
    <w:rsid w:val="002803D5"/>
    <w:rsid w:val="00283C91"/>
    <w:rsid w:val="002848EA"/>
    <w:rsid w:val="002878D8"/>
    <w:rsid w:val="00293FDB"/>
    <w:rsid w:val="00295684"/>
    <w:rsid w:val="002A325D"/>
    <w:rsid w:val="002A5EE7"/>
    <w:rsid w:val="002B5CA0"/>
    <w:rsid w:val="002C047D"/>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558B"/>
    <w:rsid w:val="00347069"/>
    <w:rsid w:val="00347EEC"/>
    <w:rsid w:val="00350413"/>
    <w:rsid w:val="003514AB"/>
    <w:rsid w:val="00354C47"/>
    <w:rsid w:val="00357E66"/>
    <w:rsid w:val="003605C6"/>
    <w:rsid w:val="00366DB8"/>
    <w:rsid w:val="00367A32"/>
    <w:rsid w:val="0037258F"/>
    <w:rsid w:val="00372CB6"/>
    <w:rsid w:val="00376023"/>
    <w:rsid w:val="00376976"/>
    <w:rsid w:val="00376AE1"/>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E1F56"/>
    <w:rsid w:val="003F360E"/>
    <w:rsid w:val="003F4E4A"/>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11A4"/>
    <w:rsid w:val="00452814"/>
    <w:rsid w:val="00454C06"/>
    <w:rsid w:val="00457687"/>
    <w:rsid w:val="004576AA"/>
    <w:rsid w:val="004655E8"/>
    <w:rsid w:val="004735EC"/>
    <w:rsid w:val="00476648"/>
    <w:rsid w:val="00482B8E"/>
    <w:rsid w:val="004839AA"/>
    <w:rsid w:val="00484A86"/>
    <w:rsid w:val="00492029"/>
    <w:rsid w:val="004A0A80"/>
    <w:rsid w:val="004A179B"/>
    <w:rsid w:val="004A2970"/>
    <w:rsid w:val="004C5B3B"/>
    <w:rsid w:val="004C7155"/>
    <w:rsid w:val="004D0449"/>
    <w:rsid w:val="004D55DA"/>
    <w:rsid w:val="004E6AB3"/>
    <w:rsid w:val="004E7032"/>
    <w:rsid w:val="004F011A"/>
    <w:rsid w:val="004F5A85"/>
    <w:rsid w:val="00500F8B"/>
    <w:rsid w:val="00503622"/>
    <w:rsid w:val="00515681"/>
    <w:rsid w:val="00517461"/>
    <w:rsid w:val="005273A2"/>
    <w:rsid w:val="005317F2"/>
    <w:rsid w:val="00531AD1"/>
    <w:rsid w:val="00536575"/>
    <w:rsid w:val="00536B03"/>
    <w:rsid w:val="0054053A"/>
    <w:rsid w:val="0054075A"/>
    <w:rsid w:val="005417D3"/>
    <w:rsid w:val="00543038"/>
    <w:rsid w:val="005504CF"/>
    <w:rsid w:val="0055658B"/>
    <w:rsid w:val="0056099E"/>
    <w:rsid w:val="00562B0B"/>
    <w:rsid w:val="005676E1"/>
    <w:rsid w:val="00572E97"/>
    <w:rsid w:val="005758C2"/>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554"/>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671B2"/>
    <w:rsid w:val="0067456C"/>
    <w:rsid w:val="00677C0C"/>
    <w:rsid w:val="00681BC1"/>
    <w:rsid w:val="00683C36"/>
    <w:rsid w:val="00684279"/>
    <w:rsid w:val="006918C1"/>
    <w:rsid w:val="00694066"/>
    <w:rsid w:val="00696506"/>
    <w:rsid w:val="006A29C7"/>
    <w:rsid w:val="006A2E45"/>
    <w:rsid w:val="006A36A4"/>
    <w:rsid w:val="006A5B90"/>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70D80"/>
    <w:rsid w:val="00772339"/>
    <w:rsid w:val="0078385B"/>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534F"/>
    <w:rsid w:val="007E616F"/>
    <w:rsid w:val="007F0611"/>
    <w:rsid w:val="007F2CA6"/>
    <w:rsid w:val="007F423C"/>
    <w:rsid w:val="007F71A7"/>
    <w:rsid w:val="0080149A"/>
    <w:rsid w:val="00801CA2"/>
    <w:rsid w:val="00802BFE"/>
    <w:rsid w:val="008052DA"/>
    <w:rsid w:val="00805861"/>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2B2A"/>
    <w:rsid w:val="008E2532"/>
    <w:rsid w:val="008E34E9"/>
    <w:rsid w:val="008F0C79"/>
    <w:rsid w:val="008F3DE8"/>
    <w:rsid w:val="008F4908"/>
    <w:rsid w:val="009055ED"/>
    <w:rsid w:val="00907867"/>
    <w:rsid w:val="00912CE3"/>
    <w:rsid w:val="009249B9"/>
    <w:rsid w:val="009269B2"/>
    <w:rsid w:val="00930D0F"/>
    <w:rsid w:val="00932779"/>
    <w:rsid w:val="009345ED"/>
    <w:rsid w:val="00934ED3"/>
    <w:rsid w:val="00940505"/>
    <w:rsid w:val="00941183"/>
    <w:rsid w:val="00943EFE"/>
    <w:rsid w:val="00946CAD"/>
    <w:rsid w:val="00947BE9"/>
    <w:rsid w:val="00970925"/>
    <w:rsid w:val="00987141"/>
    <w:rsid w:val="00991A2A"/>
    <w:rsid w:val="009937AE"/>
    <w:rsid w:val="009A2328"/>
    <w:rsid w:val="009A374A"/>
    <w:rsid w:val="009B01E1"/>
    <w:rsid w:val="009B5ABC"/>
    <w:rsid w:val="009C1FDE"/>
    <w:rsid w:val="009C2CE3"/>
    <w:rsid w:val="009D5B6B"/>
    <w:rsid w:val="009D6B3B"/>
    <w:rsid w:val="009D71A3"/>
    <w:rsid w:val="009E5610"/>
    <w:rsid w:val="009E6D08"/>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1052"/>
    <w:rsid w:val="00B02AD8"/>
    <w:rsid w:val="00B02B42"/>
    <w:rsid w:val="00B03A12"/>
    <w:rsid w:val="00B06509"/>
    <w:rsid w:val="00B06C58"/>
    <w:rsid w:val="00B12F5A"/>
    <w:rsid w:val="00B135AD"/>
    <w:rsid w:val="00B158CF"/>
    <w:rsid w:val="00B23E71"/>
    <w:rsid w:val="00B269CD"/>
    <w:rsid w:val="00B3068E"/>
    <w:rsid w:val="00B3103B"/>
    <w:rsid w:val="00B34CD7"/>
    <w:rsid w:val="00B37BBE"/>
    <w:rsid w:val="00B46F7B"/>
    <w:rsid w:val="00B476CC"/>
    <w:rsid w:val="00B52957"/>
    <w:rsid w:val="00B552D1"/>
    <w:rsid w:val="00B5736D"/>
    <w:rsid w:val="00B57F69"/>
    <w:rsid w:val="00B6764F"/>
    <w:rsid w:val="00B76579"/>
    <w:rsid w:val="00B81305"/>
    <w:rsid w:val="00B9723D"/>
    <w:rsid w:val="00BA031A"/>
    <w:rsid w:val="00BA3A63"/>
    <w:rsid w:val="00BA53E2"/>
    <w:rsid w:val="00BA589A"/>
    <w:rsid w:val="00BA78B9"/>
    <w:rsid w:val="00BC46DE"/>
    <w:rsid w:val="00BC6BBA"/>
    <w:rsid w:val="00BD570C"/>
    <w:rsid w:val="00BE4067"/>
    <w:rsid w:val="00BE50DA"/>
    <w:rsid w:val="00BF0276"/>
    <w:rsid w:val="00BF78A3"/>
    <w:rsid w:val="00C00CE9"/>
    <w:rsid w:val="00C042B1"/>
    <w:rsid w:val="00C178D0"/>
    <w:rsid w:val="00C2256F"/>
    <w:rsid w:val="00C23F8F"/>
    <w:rsid w:val="00C24EB5"/>
    <w:rsid w:val="00C25A28"/>
    <w:rsid w:val="00C26787"/>
    <w:rsid w:val="00C3065F"/>
    <w:rsid w:val="00C322F7"/>
    <w:rsid w:val="00C32BE9"/>
    <w:rsid w:val="00C34862"/>
    <w:rsid w:val="00C34F28"/>
    <w:rsid w:val="00C3506B"/>
    <w:rsid w:val="00C36FE1"/>
    <w:rsid w:val="00C40F50"/>
    <w:rsid w:val="00C4244A"/>
    <w:rsid w:val="00C5022D"/>
    <w:rsid w:val="00C52A97"/>
    <w:rsid w:val="00C62AC4"/>
    <w:rsid w:val="00C63A99"/>
    <w:rsid w:val="00C64770"/>
    <w:rsid w:val="00C67CCF"/>
    <w:rsid w:val="00C701EA"/>
    <w:rsid w:val="00C73318"/>
    <w:rsid w:val="00C76CE2"/>
    <w:rsid w:val="00C76EFC"/>
    <w:rsid w:val="00C773B3"/>
    <w:rsid w:val="00C80C62"/>
    <w:rsid w:val="00C81F0F"/>
    <w:rsid w:val="00C82902"/>
    <w:rsid w:val="00C839A9"/>
    <w:rsid w:val="00C870AA"/>
    <w:rsid w:val="00C96635"/>
    <w:rsid w:val="00C97616"/>
    <w:rsid w:val="00CA033B"/>
    <w:rsid w:val="00CA4BB8"/>
    <w:rsid w:val="00CA68B3"/>
    <w:rsid w:val="00CB19AB"/>
    <w:rsid w:val="00CB474B"/>
    <w:rsid w:val="00CC493C"/>
    <w:rsid w:val="00CC598E"/>
    <w:rsid w:val="00CC59FC"/>
    <w:rsid w:val="00CC65CD"/>
    <w:rsid w:val="00CD297A"/>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67C39"/>
    <w:rsid w:val="00D7346B"/>
    <w:rsid w:val="00D776C6"/>
    <w:rsid w:val="00D77FC6"/>
    <w:rsid w:val="00D85592"/>
    <w:rsid w:val="00D866ED"/>
    <w:rsid w:val="00D907F6"/>
    <w:rsid w:val="00D93E87"/>
    <w:rsid w:val="00D94C50"/>
    <w:rsid w:val="00DA4139"/>
    <w:rsid w:val="00DA5C83"/>
    <w:rsid w:val="00DA6F1C"/>
    <w:rsid w:val="00DC192C"/>
    <w:rsid w:val="00DD0AB5"/>
    <w:rsid w:val="00DD1273"/>
    <w:rsid w:val="00DD1761"/>
    <w:rsid w:val="00DD20B4"/>
    <w:rsid w:val="00DE121E"/>
    <w:rsid w:val="00DE76BB"/>
    <w:rsid w:val="00E03DAD"/>
    <w:rsid w:val="00E042D4"/>
    <w:rsid w:val="00E1087D"/>
    <w:rsid w:val="00E305A3"/>
    <w:rsid w:val="00E3258A"/>
    <w:rsid w:val="00E33F37"/>
    <w:rsid w:val="00E37EA3"/>
    <w:rsid w:val="00E40792"/>
    <w:rsid w:val="00E425D4"/>
    <w:rsid w:val="00E448BF"/>
    <w:rsid w:val="00E45B26"/>
    <w:rsid w:val="00E501CF"/>
    <w:rsid w:val="00E50A6B"/>
    <w:rsid w:val="00E52DD0"/>
    <w:rsid w:val="00E6497E"/>
    <w:rsid w:val="00E657F8"/>
    <w:rsid w:val="00E65CA7"/>
    <w:rsid w:val="00E67A70"/>
    <w:rsid w:val="00E701BC"/>
    <w:rsid w:val="00E74B20"/>
    <w:rsid w:val="00E77E70"/>
    <w:rsid w:val="00E87848"/>
    <w:rsid w:val="00E878FC"/>
    <w:rsid w:val="00E87F93"/>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1C48"/>
    <w:rsid w:val="00F84B01"/>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E63B8"/>
    <w:rsid w:val="00FF553B"/>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character" w:customStyle="1" w:styleId="UnresolvedMention">
    <w:name w:val="Unresolved Mention"/>
    <w:basedOn w:val="a0"/>
    <w:uiPriority w:val="99"/>
    <w:semiHidden/>
    <w:unhideWhenUsed/>
    <w:rsid w:val="0029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kod@boi.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7DCB-26E4-480C-B87E-7020B04B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3082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2023-11-19T07:35:00Z</dcterms:created>
  <dcterms:modified xsi:type="dcterms:W3CDTF">2023-11-19T07:35:00Z</dcterms:modified>
</cp:coreProperties>
</file>