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CECC2C" w14:textId="295594CC" w:rsidR="00D772B2" w:rsidRPr="008932A7" w:rsidRDefault="00D772B2" w:rsidP="00D772B2">
      <w:pPr>
        <w:bidi w:val="0"/>
        <w:rPr>
          <w:rFonts w:asciiTheme="minorHAnsi" w:hAnsiTheme="minorHAnsi"/>
        </w:rPr>
      </w:pPr>
    </w:p>
    <w:p w14:paraId="7AD85E60" w14:textId="77777777" w:rsidR="008932A7" w:rsidRPr="008932A7" w:rsidRDefault="008932A7" w:rsidP="006B32D0">
      <w:pPr>
        <w:bidi w:val="0"/>
        <w:jc w:val="right"/>
        <w:rPr>
          <w:rFonts w:asciiTheme="minorHAnsi" w:hAnsiTheme="minorHAnsi"/>
        </w:rPr>
      </w:pPr>
    </w:p>
    <w:p w14:paraId="2D6F4412" w14:textId="77777777" w:rsidR="008932A7" w:rsidRPr="008932A7" w:rsidRDefault="008932A7" w:rsidP="008932A7">
      <w:pPr>
        <w:bidi w:val="0"/>
        <w:jc w:val="center"/>
        <w:rPr>
          <w:rFonts w:asciiTheme="minorHAnsi" w:hAnsiTheme="minorHAnsi" w:cstheme="minorHAnsi"/>
          <w:rtl/>
        </w:rPr>
      </w:pPr>
      <w:r w:rsidRPr="008932A7">
        <w:rPr>
          <w:rFonts w:asciiTheme="minorHAnsi" w:hAnsiTheme="minorHAnsi" w:cstheme="minorHAnsi"/>
          <w:noProof/>
          <w:rtl/>
        </w:rPr>
        <w:drawing>
          <wp:anchor distT="0" distB="0" distL="114300" distR="114300" simplePos="0" relativeHeight="251682816" behindDoc="0" locked="0" layoutInCell="1" allowOverlap="1" wp14:anchorId="4C42276D" wp14:editId="20EF70FE">
            <wp:simplePos x="0" y="0"/>
            <wp:positionH relativeFrom="margin">
              <wp:posOffset>2298065</wp:posOffset>
            </wp:positionH>
            <wp:positionV relativeFrom="margin">
              <wp:posOffset>-327660</wp:posOffset>
            </wp:positionV>
            <wp:extent cx="1191260" cy="1191260"/>
            <wp:effectExtent l="0" t="0" r="8890" b="8890"/>
            <wp:wrapSquare wrapText="bothSides"/>
            <wp:docPr id="1" name="Picture 1" descr="C:\Users\u17x\Desktop\תמונת לוגו (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17x\Desktop\תמונת לוגו (jpg).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91260" cy="11912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7F7879" w14:textId="45E3BDD7" w:rsidR="008932A7" w:rsidRPr="008932A7" w:rsidRDefault="008932A7" w:rsidP="008932A7">
      <w:pPr>
        <w:pStyle w:val="regpar"/>
        <w:spacing w:line="240" w:lineRule="auto"/>
        <w:ind w:firstLine="0"/>
        <w:rPr>
          <w:rFonts w:asciiTheme="minorHAnsi" w:hAnsiTheme="minorHAnsi" w:cstheme="minorHAnsi"/>
          <w:bCs/>
        </w:rPr>
      </w:pPr>
    </w:p>
    <w:p w14:paraId="6A3D7BAB" w14:textId="77777777" w:rsidR="008932A7" w:rsidRPr="008932A7" w:rsidRDefault="008932A7" w:rsidP="008932A7">
      <w:pPr>
        <w:pStyle w:val="regpar"/>
        <w:spacing w:line="240" w:lineRule="auto"/>
        <w:ind w:firstLine="0"/>
        <w:jc w:val="center"/>
        <w:rPr>
          <w:rFonts w:asciiTheme="minorHAnsi" w:hAnsiTheme="minorHAnsi" w:cstheme="minorHAnsi"/>
          <w:bCs/>
        </w:rPr>
      </w:pPr>
    </w:p>
    <w:p w14:paraId="53BE346C" w14:textId="77777777" w:rsidR="008932A7" w:rsidRPr="008932A7" w:rsidRDefault="008932A7" w:rsidP="008932A7">
      <w:pPr>
        <w:pStyle w:val="regpar"/>
        <w:spacing w:line="240" w:lineRule="auto"/>
        <w:ind w:firstLine="0"/>
        <w:jc w:val="center"/>
        <w:rPr>
          <w:rFonts w:asciiTheme="minorHAnsi" w:hAnsiTheme="minorHAnsi" w:cstheme="minorHAnsi"/>
          <w:bCs/>
        </w:rPr>
      </w:pPr>
      <w:r w:rsidRPr="008932A7">
        <w:rPr>
          <w:rFonts w:asciiTheme="minorHAnsi" w:hAnsiTheme="minorHAnsi" w:cstheme="minorHAnsi"/>
          <w:bCs/>
        </w:rPr>
        <w:t>BANK OF ISRAEL</w:t>
      </w:r>
    </w:p>
    <w:p w14:paraId="42EE0341" w14:textId="77777777" w:rsidR="008932A7" w:rsidRPr="008932A7" w:rsidRDefault="008932A7" w:rsidP="008932A7">
      <w:pPr>
        <w:pStyle w:val="regpar"/>
        <w:spacing w:line="240" w:lineRule="auto"/>
        <w:ind w:firstLine="0"/>
        <w:jc w:val="center"/>
        <w:rPr>
          <w:rFonts w:asciiTheme="minorHAnsi" w:hAnsiTheme="minorHAnsi" w:cstheme="minorHAnsi"/>
          <w:b/>
        </w:rPr>
      </w:pPr>
      <w:r w:rsidRPr="008932A7">
        <w:rPr>
          <w:rFonts w:asciiTheme="minorHAnsi" w:hAnsiTheme="minorHAnsi" w:cstheme="minorHAnsi"/>
        </w:rPr>
        <w:t>Office of the Spokesperson and Economic Information</w:t>
      </w:r>
    </w:p>
    <w:p w14:paraId="3FFF9D4B" w14:textId="77777777" w:rsidR="008932A7" w:rsidRPr="008932A7" w:rsidRDefault="008932A7" w:rsidP="008932A7">
      <w:pPr>
        <w:bidi w:val="0"/>
        <w:jc w:val="center"/>
        <w:rPr>
          <w:rFonts w:asciiTheme="minorHAnsi" w:hAnsiTheme="minorHAnsi" w:cstheme="minorHAnsi"/>
          <w:b/>
          <w:bCs/>
          <w:sz w:val="26"/>
          <w:szCs w:val="26"/>
        </w:rPr>
      </w:pPr>
    </w:p>
    <w:p w14:paraId="23277665" w14:textId="7F802184" w:rsidR="008932A7" w:rsidRPr="008932A7" w:rsidRDefault="008932A7" w:rsidP="008932A7">
      <w:pPr>
        <w:bidi w:val="0"/>
        <w:rPr>
          <w:rFonts w:asciiTheme="minorHAnsi" w:hAnsiTheme="minorHAnsi"/>
        </w:rPr>
      </w:pPr>
    </w:p>
    <w:p w14:paraId="777BAAD1" w14:textId="62098B07" w:rsidR="00D772B2" w:rsidRPr="008932A7" w:rsidRDefault="00AC1871" w:rsidP="008932A7">
      <w:pPr>
        <w:bidi w:val="0"/>
        <w:jc w:val="right"/>
        <w:rPr>
          <w:rFonts w:asciiTheme="minorHAnsi" w:hAnsiTheme="minorHAnsi"/>
        </w:rPr>
      </w:pPr>
      <w:r w:rsidRPr="008932A7">
        <w:rPr>
          <w:rFonts w:asciiTheme="minorHAnsi" w:hAnsiTheme="minorHAnsi"/>
        </w:rPr>
        <w:t>September 25</w:t>
      </w:r>
      <w:r w:rsidR="003316A5" w:rsidRPr="008932A7">
        <w:rPr>
          <w:rFonts w:asciiTheme="minorHAnsi" w:hAnsiTheme="minorHAnsi"/>
        </w:rPr>
        <w:t>, 2024</w:t>
      </w:r>
    </w:p>
    <w:p w14:paraId="567E6562" w14:textId="7FBF5574" w:rsidR="008932A7" w:rsidRPr="008932A7" w:rsidRDefault="008932A7" w:rsidP="009C042F">
      <w:pPr>
        <w:pStyle w:val="PressReleaseTitle"/>
        <w:jc w:val="left"/>
        <w:rPr>
          <w:rFonts w:asciiTheme="minorHAnsi" w:hAnsiTheme="minorHAnsi"/>
          <w:sz w:val="24"/>
          <w:szCs w:val="24"/>
        </w:rPr>
      </w:pPr>
    </w:p>
    <w:p w14:paraId="00A7852F" w14:textId="77777777" w:rsidR="008932A7" w:rsidRPr="008932A7" w:rsidRDefault="008932A7" w:rsidP="009C042F">
      <w:pPr>
        <w:pStyle w:val="PressReleaseTitle"/>
        <w:jc w:val="left"/>
        <w:rPr>
          <w:rFonts w:asciiTheme="minorHAnsi" w:hAnsiTheme="minorHAnsi"/>
          <w:sz w:val="24"/>
          <w:szCs w:val="24"/>
        </w:rPr>
      </w:pPr>
    </w:p>
    <w:p w14:paraId="65D1C0B9" w14:textId="77777777" w:rsidR="008932A7" w:rsidRPr="008932A7" w:rsidRDefault="008932A7" w:rsidP="009C042F">
      <w:pPr>
        <w:pStyle w:val="PressReleaseTitle"/>
        <w:jc w:val="left"/>
        <w:rPr>
          <w:rFonts w:asciiTheme="minorHAnsi" w:hAnsiTheme="minorHAnsi"/>
          <w:sz w:val="24"/>
          <w:szCs w:val="24"/>
        </w:rPr>
      </w:pPr>
    </w:p>
    <w:p w14:paraId="0170820D" w14:textId="04F92A20" w:rsidR="00D772B2" w:rsidRPr="008932A7" w:rsidRDefault="00D772B2" w:rsidP="009C042F">
      <w:pPr>
        <w:pStyle w:val="PressReleaseTitle"/>
        <w:jc w:val="left"/>
        <w:rPr>
          <w:rFonts w:asciiTheme="minorHAnsi" w:hAnsiTheme="minorHAnsi"/>
          <w:sz w:val="24"/>
          <w:szCs w:val="24"/>
        </w:rPr>
      </w:pPr>
      <w:r w:rsidRPr="008932A7">
        <w:rPr>
          <w:rFonts w:asciiTheme="minorHAnsi" w:hAnsiTheme="minorHAnsi"/>
          <w:sz w:val="24"/>
          <w:szCs w:val="24"/>
        </w:rPr>
        <w:t>Press Release</w:t>
      </w:r>
      <w:r w:rsidR="009C042F" w:rsidRPr="008932A7">
        <w:rPr>
          <w:rFonts w:asciiTheme="minorHAnsi" w:hAnsiTheme="minorHAnsi"/>
          <w:sz w:val="24"/>
          <w:szCs w:val="24"/>
        </w:rPr>
        <w:t>:</w:t>
      </w:r>
    </w:p>
    <w:p w14:paraId="731210E1" w14:textId="63770394" w:rsidR="00083D7F" w:rsidRPr="008932A7" w:rsidRDefault="00083D7F" w:rsidP="007E422E">
      <w:pPr>
        <w:tabs>
          <w:tab w:val="left" w:pos="180"/>
        </w:tabs>
        <w:bidi w:val="0"/>
        <w:spacing w:line="300" w:lineRule="exact"/>
        <w:jc w:val="both"/>
        <w:rPr>
          <w:rFonts w:asciiTheme="minorHAnsi" w:hAnsiTheme="minorHAnsi"/>
        </w:rPr>
      </w:pPr>
    </w:p>
    <w:p w14:paraId="04D88B51" w14:textId="2472C7D2" w:rsidR="00517971" w:rsidRPr="008932A7" w:rsidRDefault="00517971" w:rsidP="008D3D19">
      <w:pPr>
        <w:bidi w:val="0"/>
        <w:rPr>
          <w:rFonts w:asciiTheme="minorHAnsi" w:hAnsiTheme="minorHAnsi"/>
          <w:lang w:eastAsia="zh-CN" w:bidi="ar-SA"/>
        </w:rPr>
      </w:pPr>
    </w:p>
    <w:p w14:paraId="171E81B9" w14:textId="2F50DB11" w:rsidR="00CE4D28" w:rsidRPr="008932A7" w:rsidRDefault="00C6070A" w:rsidP="00AC1871">
      <w:pPr>
        <w:pStyle w:val="1"/>
        <w:rPr>
          <w:rFonts w:asciiTheme="minorHAnsi" w:hAnsiTheme="minorHAnsi" w:cstheme="majorBidi"/>
          <w:sz w:val="32"/>
          <w:szCs w:val="32"/>
        </w:rPr>
      </w:pPr>
      <w:r w:rsidRPr="008932A7">
        <w:rPr>
          <w:rFonts w:asciiTheme="minorHAnsi" w:hAnsiTheme="minorHAnsi" w:cstheme="majorBidi"/>
          <w:sz w:val="32"/>
          <w:szCs w:val="32"/>
        </w:rPr>
        <w:t>The</w:t>
      </w:r>
      <w:r w:rsidR="00F50434" w:rsidRPr="008932A7">
        <w:rPr>
          <w:rFonts w:asciiTheme="minorHAnsi" w:hAnsiTheme="minorHAnsi" w:cstheme="majorBidi"/>
          <w:sz w:val="32"/>
          <w:szCs w:val="32"/>
        </w:rPr>
        <w:t xml:space="preserve"> public's financial assets portfolio in the </w:t>
      </w:r>
      <w:r w:rsidR="00AC1871" w:rsidRPr="008932A7">
        <w:rPr>
          <w:rFonts w:asciiTheme="minorHAnsi" w:hAnsiTheme="minorHAnsi" w:cstheme="majorBidi"/>
          <w:sz w:val="32"/>
          <w:szCs w:val="32"/>
        </w:rPr>
        <w:t>second</w:t>
      </w:r>
      <w:r w:rsidR="006919D1" w:rsidRPr="008932A7">
        <w:rPr>
          <w:rFonts w:asciiTheme="minorHAnsi" w:hAnsiTheme="minorHAnsi" w:cstheme="majorBidi"/>
          <w:sz w:val="32"/>
          <w:szCs w:val="32"/>
        </w:rPr>
        <w:t xml:space="preserve"> quarter</w:t>
      </w:r>
      <w:r w:rsidR="00084032" w:rsidRPr="008932A7">
        <w:rPr>
          <w:rFonts w:asciiTheme="minorHAnsi" w:hAnsiTheme="minorHAnsi" w:cstheme="majorBidi"/>
          <w:sz w:val="32"/>
          <w:szCs w:val="32"/>
        </w:rPr>
        <w:t xml:space="preserve"> of </w:t>
      </w:r>
      <w:r w:rsidR="003316A5" w:rsidRPr="008932A7">
        <w:rPr>
          <w:rFonts w:asciiTheme="minorHAnsi" w:hAnsiTheme="minorHAnsi" w:cstheme="majorBidi"/>
          <w:sz w:val="32"/>
          <w:szCs w:val="32"/>
        </w:rPr>
        <w:t>2024</w:t>
      </w:r>
    </w:p>
    <w:p w14:paraId="3CD80117" w14:textId="77777777" w:rsidR="00BF5352" w:rsidRPr="008932A7" w:rsidRDefault="00BF5352" w:rsidP="008D3D19">
      <w:pPr>
        <w:tabs>
          <w:tab w:val="left" w:pos="1134"/>
        </w:tabs>
        <w:bidi w:val="0"/>
        <w:spacing w:line="300" w:lineRule="exact"/>
        <w:jc w:val="both"/>
        <w:rPr>
          <w:rFonts w:asciiTheme="minorHAnsi" w:hAnsiTheme="minorHAnsi" w:cstheme="majorBidi"/>
          <w:b/>
          <w:bCs/>
        </w:rPr>
      </w:pPr>
    </w:p>
    <w:p w14:paraId="086364F6" w14:textId="649EBEDD" w:rsidR="00F50434" w:rsidRPr="008932A7" w:rsidRDefault="00F50434" w:rsidP="003316A5">
      <w:pPr>
        <w:bidi w:val="0"/>
        <w:spacing w:line="300" w:lineRule="exact"/>
        <w:rPr>
          <w:rFonts w:asciiTheme="minorHAnsi" w:hAnsiTheme="minorHAnsi"/>
          <w:b/>
          <w:bCs/>
        </w:rPr>
      </w:pPr>
    </w:p>
    <w:p w14:paraId="5C97827F" w14:textId="64135251" w:rsidR="00AC3545" w:rsidRPr="008932A7" w:rsidRDefault="00234629" w:rsidP="00AC1871">
      <w:pPr>
        <w:numPr>
          <w:ilvl w:val="0"/>
          <w:numId w:val="17"/>
        </w:numPr>
        <w:tabs>
          <w:tab w:val="left" w:pos="1134"/>
        </w:tabs>
        <w:bidi w:val="0"/>
        <w:spacing w:line="300" w:lineRule="exact"/>
        <w:jc w:val="both"/>
        <w:rPr>
          <w:rFonts w:asciiTheme="minorHAnsi" w:hAnsiTheme="minorHAnsi" w:cstheme="majorBidi"/>
          <w:b/>
          <w:bCs/>
        </w:rPr>
      </w:pPr>
      <w:r w:rsidRPr="008932A7">
        <w:rPr>
          <w:rFonts w:asciiTheme="minorHAnsi" w:hAnsiTheme="minorHAnsi" w:cstheme="majorBidi"/>
          <w:b/>
          <w:bCs/>
        </w:rPr>
        <w:t xml:space="preserve">In the </w:t>
      </w:r>
      <w:r w:rsidR="00AC1871" w:rsidRPr="008932A7">
        <w:rPr>
          <w:rFonts w:asciiTheme="minorHAnsi" w:hAnsiTheme="minorHAnsi" w:cstheme="majorBidi"/>
          <w:b/>
          <w:bCs/>
        </w:rPr>
        <w:t>second</w:t>
      </w:r>
      <w:r w:rsidR="006B32D0" w:rsidRPr="008932A7">
        <w:rPr>
          <w:rFonts w:asciiTheme="minorHAnsi" w:hAnsiTheme="minorHAnsi" w:cstheme="majorBidi"/>
          <w:b/>
          <w:bCs/>
        </w:rPr>
        <w:t xml:space="preserve"> quarter</w:t>
      </w:r>
      <w:r w:rsidRPr="008932A7">
        <w:rPr>
          <w:rFonts w:asciiTheme="minorHAnsi" w:hAnsiTheme="minorHAnsi" w:cstheme="majorBidi"/>
          <w:b/>
          <w:bCs/>
        </w:rPr>
        <w:t xml:space="preserve"> of </w:t>
      </w:r>
      <w:r w:rsidR="003316A5" w:rsidRPr="008932A7">
        <w:rPr>
          <w:rFonts w:asciiTheme="minorHAnsi" w:hAnsiTheme="minorHAnsi" w:cstheme="majorBidi"/>
          <w:b/>
          <w:bCs/>
        </w:rPr>
        <w:t>2024</w:t>
      </w:r>
      <w:r w:rsidRPr="008932A7">
        <w:rPr>
          <w:rFonts w:asciiTheme="minorHAnsi" w:hAnsiTheme="minorHAnsi" w:cstheme="majorBidi"/>
          <w:b/>
          <w:bCs/>
        </w:rPr>
        <w:t>,</w:t>
      </w:r>
      <w:r w:rsidR="00E716B9" w:rsidRPr="008932A7">
        <w:rPr>
          <w:rFonts w:asciiTheme="minorHAnsi" w:hAnsiTheme="minorHAnsi" w:cstheme="majorBidi"/>
          <w:b/>
          <w:bCs/>
        </w:rPr>
        <w:t xml:space="preserve"> </w:t>
      </w:r>
      <w:r w:rsidR="00AC3545" w:rsidRPr="008932A7">
        <w:rPr>
          <w:rFonts w:asciiTheme="minorHAnsi" w:hAnsiTheme="minorHAnsi" w:cstheme="majorBidi"/>
          <w:b/>
          <w:bCs/>
        </w:rPr>
        <w:t xml:space="preserve">the balance of the public’s financial assets portfolio </w:t>
      </w:r>
      <w:r w:rsidR="00D05DEF" w:rsidRPr="008932A7">
        <w:rPr>
          <w:rFonts w:asciiTheme="minorHAnsi" w:hAnsiTheme="minorHAnsi" w:cstheme="majorBidi"/>
          <w:b/>
          <w:bCs/>
        </w:rPr>
        <w:t>increased</w:t>
      </w:r>
      <w:r w:rsidR="008B7040" w:rsidRPr="008932A7">
        <w:rPr>
          <w:rFonts w:asciiTheme="minorHAnsi" w:hAnsiTheme="minorHAnsi" w:cstheme="majorBidi"/>
          <w:b/>
          <w:bCs/>
        </w:rPr>
        <w:t xml:space="preserve"> </w:t>
      </w:r>
      <w:bookmarkStart w:id="0" w:name="_GoBack"/>
      <w:r w:rsidR="00AC3545" w:rsidRPr="008932A7">
        <w:rPr>
          <w:rFonts w:asciiTheme="minorHAnsi" w:hAnsiTheme="minorHAnsi" w:cstheme="majorBidi"/>
          <w:b/>
          <w:bCs/>
        </w:rPr>
        <w:t xml:space="preserve">by </w:t>
      </w:r>
      <w:r w:rsidR="00C935C0" w:rsidRPr="008932A7">
        <w:rPr>
          <w:rFonts w:asciiTheme="minorHAnsi" w:hAnsiTheme="minorHAnsi" w:cstheme="majorBidi"/>
          <w:b/>
          <w:bCs/>
        </w:rPr>
        <w:t xml:space="preserve">approximately </w:t>
      </w:r>
      <w:r w:rsidR="00AC3545" w:rsidRPr="008932A7">
        <w:rPr>
          <w:rFonts w:asciiTheme="minorHAnsi" w:hAnsiTheme="minorHAnsi" w:cstheme="majorBidi"/>
          <w:b/>
          <w:bCs/>
        </w:rPr>
        <w:t xml:space="preserve">NIS </w:t>
      </w:r>
      <w:r w:rsidR="00AC1871" w:rsidRPr="008932A7">
        <w:rPr>
          <w:rFonts w:asciiTheme="minorHAnsi" w:hAnsiTheme="minorHAnsi" w:cstheme="majorBidi"/>
          <w:b/>
          <w:bCs/>
        </w:rPr>
        <w:t>65</w:t>
      </w:r>
      <w:r w:rsidR="00E716B9" w:rsidRPr="008932A7">
        <w:rPr>
          <w:rFonts w:asciiTheme="minorHAnsi" w:hAnsiTheme="minorHAnsi" w:cstheme="majorBidi"/>
          <w:b/>
          <w:bCs/>
        </w:rPr>
        <w:t xml:space="preserve"> </w:t>
      </w:r>
      <w:r w:rsidR="00AC3545" w:rsidRPr="008932A7">
        <w:rPr>
          <w:rFonts w:asciiTheme="minorHAnsi" w:hAnsiTheme="minorHAnsi" w:cstheme="majorBidi"/>
          <w:b/>
          <w:bCs/>
        </w:rPr>
        <w:t>billion (</w:t>
      </w:r>
      <w:r w:rsidR="00AC1871" w:rsidRPr="008932A7">
        <w:rPr>
          <w:rFonts w:asciiTheme="minorHAnsi" w:hAnsiTheme="minorHAnsi" w:cstheme="majorBidi"/>
          <w:b/>
          <w:bCs/>
        </w:rPr>
        <w:t>1.15</w:t>
      </w:r>
      <w:r w:rsidR="00F654EA" w:rsidRPr="008932A7">
        <w:rPr>
          <w:rFonts w:asciiTheme="minorHAnsi" w:hAnsiTheme="minorHAnsi" w:cstheme="majorBidi"/>
          <w:b/>
          <w:bCs/>
        </w:rPr>
        <w:t xml:space="preserve"> </w:t>
      </w:r>
      <w:r w:rsidR="00AC3545" w:rsidRPr="008932A7">
        <w:rPr>
          <w:rFonts w:asciiTheme="minorHAnsi" w:hAnsiTheme="minorHAnsi" w:cstheme="majorBidi"/>
          <w:b/>
          <w:bCs/>
        </w:rPr>
        <w:t>percent)</w:t>
      </w:r>
      <w:r w:rsidR="00C935C0" w:rsidRPr="008932A7">
        <w:rPr>
          <w:rFonts w:asciiTheme="minorHAnsi" w:hAnsiTheme="minorHAnsi" w:cstheme="majorBidi"/>
          <w:b/>
          <w:bCs/>
        </w:rPr>
        <w:t xml:space="preserve">, </w:t>
      </w:r>
      <w:r w:rsidR="00D223DE" w:rsidRPr="008932A7">
        <w:rPr>
          <w:rFonts w:asciiTheme="minorHAnsi" w:hAnsiTheme="minorHAnsi" w:cstheme="majorBidi"/>
          <w:b/>
          <w:bCs/>
        </w:rPr>
        <w:t xml:space="preserve">to </w:t>
      </w:r>
      <w:r w:rsidR="00D84BFF" w:rsidRPr="008932A7">
        <w:rPr>
          <w:rFonts w:asciiTheme="minorHAnsi" w:hAnsiTheme="minorHAnsi" w:cstheme="majorBidi"/>
          <w:b/>
          <w:bCs/>
        </w:rPr>
        <w:t xml:space="preserve">about NIS </w:t>
      </w:r>
      <w:r w:rsidR="004D2C0E" w:rsidRPr="008932A7">
        <w:rPr>
          <w:rFonts w:asciiTheme="minorHAnsi" w:hAnsiTheme="minorHAnsi" w:cstheme="majorBidi"/>
          <w:b/>
          <w:bCs/>
        </w:rPr>
        <w:t>5.</w:t>
      </w:r>
      <w:r w:rsidR="00AC1871" w:rsidRPr="008932A7">
        <w:rPr>
          <w:rFonts w:asciiTheme="minorHAnsi" w:hAnsiTheme="minorHAnsi" w:cstheme="majorBidi"/>
          <w:b/>
          <w:bCs/>
        </w:rPr>
        <w:t>75</w:t>
      </w:r>
      <w:r w:rsidR="00D84BFF" w:rsidRPr="008932A7">
        <w:rPr>
          <w:rFonts w:asciiTheme="minorHAnsi" w:hAnsiTheme="minorHAnsi" w:cstheme="majorBidi"/>
          <w:b/>
          <w:bCs/>
        </w:rPr>
        <w:t xml:space="preserve"> </w:t>
      </w:r>
      <w:r w:rsidR="00514DD8" w:rsidRPr="008932A7">
        <w:rPr>
          <w:rFonts w:asciiTheme="minorHAnsi" w:hAnsiTheme="minorHAnsi" w:cstheme="majorBidi"/>
          <w:b/>
          <w:bCs/>
        </w:rPr>
        <w:t>tr</w:t>
      </w:r>
      <w:r w:rsidR="00D84BFF" w:rsidRPr="008932A7">
        <w:rPr>
          <w:rFonts w:asciiTheme="minorHAnsi" w:hAnsiTheme="minorHAnsi" w:cstheme="majorBidi"/>
          <w:b/>
          <w:bCs/>
        </w:rPr>
        <w:t>illion.</w:t>
      </w:r>
    </w:p>
    <w:bookmarkEnd w:id="0"/>
    <w:p w14:paraId="27309BB0" w14:textId="6A42E780" w:rsidR="00C6332F" w:rsidRPr="008932A7" w:rsidRDefault="00455E2B" w:rsidP="00AC1871">
      <w:pPr>
        <w:numPr>
          <w:ilvl w:val="0"/>
          <w:numId w:val="17"/>
        </w:numPr>
        <w:tabs>
          <w:tab w:val="left" w:pos="1134"/>
        </w:tabs>
        <w:bidi w:val="0"/>
        <w:spacing w:line="300" w:lineRule="exact"/>
        <w:jc w:val="both"/>
        <w:rPr>
          <w:rFonts w:asciiTheme="minorHAnsi" w:hAnsiTheme="minorHAnsi" w:cstheme="majorBidi"/>
          <w:b/>
          <w:bCs/>
        </w:rPr>
      </w:pPr>
      <w:r w:rsidRPr="008932A7">
        <w:rPr>
          <w:rFonts w:asciiTheme="minorHAnsi" w:hAnsiTheme="minorHAnsi" w:cstheme="majorBidi"/>
          <w:b/>
          <w:bCs/>
        </w:rPr>
        <w:t xml:space="preserve">The </w:t>
      </w:r>
      <w:r w:rsidR="00D05DEF" w:rsidRPr="008932A7">
        <w:rPr>
          <w:rFonts w:asciiTheme="minorHAnsi" w:hAnsiTheme="minorHAnsi" w:cstheme="majorBidi"/>
          <w:b/>
          <w:bCs/>
        </w:rPr>
        <w:t>increase</w:t>
      </w:r>
      <w:r w:rsidR="0021612F" w:rsidRPr="008932A7">
        <w:rPr>
          <w:rFonts w:asciiTheme="minorHAnsi" w:hAnsiTheme="minorHAnsi" w:cstheme="majorBidi"/>
          <w:b/>
          <w:bCs/>
        </w:rPr>
        <w:t xml:space="preserve"> in the portfolio</w:t>
      </w:r>
      <w:r w:rsidR="00D05DEF" w:rsidRPr="008932A7">
        <w:rPr>
          <w:rFonts w:asciiTheme="minorHAnsi" w:hAnsiTheme="minorHAnsi" w:cstheme="majorBidi"/>
          <w:b/>
          <w:bCs/>
        </w:rPr>
        <w:t>’s</w:t>
      </w:r>
      <w:r w:rsidR="0021612F" w:rsidRPr="008932A7">
        <w:rPr>
          <w:rFonts w:asciiTheme="minorHAnsi" w:hAnsiTheme="minorHAnsi" w:cstheme="majorBidi"/>
          <w:b/>
          <w:bCs/>
        </w:rPr>
        <w:t xml:space="preserve"> value </w:t>
      </w:r>
      <w:r w:rsidRPr="008932A7">
        <w:rPr>
          <w:rFonts w:asciiTheme="minorHAnsi" w:hAnsiTheme="minorHAnsi" w:cstheme="majorBidi"/>
          <w:b/>
          <w:bCs/>
        </w:rPr>
        <w:t xml:space="preserve">in the </w:t>
      </w:r>
      <w:r w:rsidR="00AC1871" w:rsidRPr="008932A7">
        <w:rPr>
          <w:rFonts w:asciiTheme="minorHAnsi" w:hAnsiTheme="minorHAnsi" w:cstheme="majorBidi"/>
          <w:b/>
          <w:bCs/>
        </w:rPr>
        <w:t>second</w:t>
      </w:r>
      <w:r w:rsidR="006B32D0" w:rsidRPr="008932A7">
        <w:rPr>
          <w:rFonts w:asciiTheme="minorHAnsi" w:hAnsiTheme="minorHAnsi" w:cstheme="majorBidi"/>
          <w:b/>
          <w:bCs/>
        </w:rPr>
        <w:t xml:space="preserve"> quarter</w:t>
      </w:r>
      <w:r w:rsidRPr="008932A7">
        <w:rPr>
          <w:rFonts w:asciiTheme="minorHAnsi" w:hAnsiTheme="minorHAnsi" w:cstheme="majorBidi"/>
          <w:b/>
          <w:bCs/>
        </w:rPr>
        <w:t xml:space="preserve"> </w:t>
      </w:r>
      <w:r w:rsidR="00B228AF" w:rsidRPr="008932A7">
        <w:rPr>
          <w:rFonts w:asciiTheme="minorHAnsi" w:hAnsiTheme="minorHAnsi" w:cstheme="majorBidi"/>
          <w:b/>
          <w:bCs/>
        </w:rPr>
        <w:t>was</w:t>
      </w:r>
      <w:r w:rsidR="00C25158" w:rsidRPr="008932A7">
        <w:rPr>
          <w:rFonts w:asciiTheme="minorHAnsi" w:hAnsiTheme="minorHAnsi" w:cstheme="majorBidi"/>
          <w:b/>
          <w:bCs/>
        </w:rPr>
        <w:t xml:space="preserve"> </w:t>
      </w:r>
      <w:r w:rsidRPr="008932A7">
        <w:rPr>
          <w:rFonts w:asciiTheme="minorHAnsi" w:hAnsiTheme="minorHAnsi" w:cstheme="majorBidi"/>
          <w:b/>
          <w:bCs/>
        </w:rPr>
        <w:t xml:space="preserve">mainly </w:t>
      </w:r>
      <w:r w:rsidR="00B228AF" w:rsidRPr="008932A7">
        <w:rPr>
          <w:rFonts w:asciiTheme="minorHAnsi" w:hAnsiTheme="minorHAnsi" w:cstheme="majorBidi"/>
          <w:b/>
          <w:bCs/>
        </w:rPr>
        <w:t xml:space="preserve">due to </w:t>
      </w:r>
      <w:r w:rsidR="00D05DEF" w:rsidRPr="008932A7">
        <w:rPr>
          <w:rFonts w:asciiTheme="minorHAnsi" w:hAnsiTheme="minorHAnsi" w:cstheme="majorBidi"/>
          <w:b/>
          <w:bCs/>
        </w:rPr>
        <w:t>increase</w:t>
      </w:r>
      <w:r w:rsidR="00C6332F" w:rsidRPr="008932A7">
        <w:rPr>
          <w:rFonts w:asciiTheme="minorHAnsi" w:hAnsiTheme="minorHAnsi" w:cstheme="majorBidi"/>
          <w:b/>
          <w:bCs/>
        </w:rPr>
        <w:t xml:space="preserve">s </w:t>
      </w:r>
      <w:r w:rsidR="00BF5352" w:rsidRPr="008932A7">
        <w:rPr>
          <w:rFonts w:asciiTheme="minorHAnsi" w:hAnsiTheme="minorHAnsi" w:cstheme="majorBidi"/>
          <w:b/>
          <w:bCs/>
        </w:rPr>
        <w:t>in the ba</w:t>
      </w:r>
      <w:r w:rsidR="00C6332F" w:rsidRPr="008932A7">
        <w:rPr>
          <w:rFonts w:asciiTheme="minorHAnsi" w:hAnsiTheme="minorHAnsi" w:cstheme="majorBidi"/>
          <w:b/>
          <w:bCs/>
        </w:rPr>
        <w:t>lance of investments abroad (</w:t>
      </w:r>
      <w:r w:rsidR="00AC1871" w:rsidRPr="008932A7">
        <w:rPr>
          <w:rFonts w:asciiTheme="minorHAnsi" w:hAnsiTheme="minorHAnsi" w:cstheme="majorBidi"/>
          <w:b/>
          <w:bCs/>
        </w:rPr>
        <w:t>6.1</w:t>
      </w:r>
      <w:r w:rsidR="00BF5352" w:rsidRPr="008932A7">
        <w:rPr>
          <w:rFonts w:asciiTheme="minorHAnsi" w:hAnsiTheme="minorHAnsi" w:cstheme="majorBidi"/>
          <w:b/>
          <w:bCs/>
        </w:rPr>
        <w:t xml:space="preserve"> percent), </w:t>
      </w:r>
      <w:r w:rsidR="00AC1871" w:rsidRPr="008932A7">
        <w:rPr>
          <w:rFonts w:asciiTheme="minorHAnsi" w:hAnsiTheme="minorHAnsi" w:cstheme="majorBidi"/>
          <w:b/>
          <w:bCs/>
        </w:rPr>
        <w:t xml:space="preserve">and in the balance of government bonds and </w:t>
      </w:r>
      <w:r w:rsidR="00AC1871" w:rsidRPr="008932A7">
        <w:rPr>
          <w:rFonts w:asciiTheme="minorHAnsi" w:hAnsiTheme="minorHAnsi" w:cstheme="majorBidi"/>
          <w:b/>
          <w:bCs/>
          <w:i/>
          <w:iCs/>
        </w:rPr>
        <w:t xml:space="preserve">Makam </w:t>
      </w:r>
      <w:r w:rsidR="00AC1871" w:rsidRPr="008932A7">
        <w:rPr>
          <w:rFonts w:asciiTheme="minorHAnsi" w:hAnsiTheme="minorHAnsi" w:cstheme="majorBidi"/>
          <w:b/>
          <w:bCs/>
        </w:rPr>
        <w:t xml:space="preserve">(3.5 percent).  In contrast, there were declines in </w:t>
      </w:r>
      <w:r w:rsidR="00C6332F" w:rsidRPr="008932A7">
        <w:rPr>
          <w:rFonts w:asciiTheme="minorHAnsi" w:hAnsiTheme="minorHAnsi" w:cstheme="majorBidi"/>
          <w:b/>
          <w:bCs/>
        </w:rPr>
        <w:t>the balance of equities in Israel (</w:t>
      </w:r>
      <w:r w:rsidR="00AC1871" w:rsidRPr="008932A7">
        <w:rPr>
          <w:rFonts w:asciiTheme="minorHAnsi" w:hAnsiTheme="minorHAnsi" w:cstheme="majorBidi"/>
          <w:b/>
          <w:bCs/>
        </w:rPr>
        <w:t>8.5</w:t>
      </w:r>
      <w:r w:rsidR="00C6332F" w:rsidRPr="008932A7">
        <w:rPr>
          <w:rFonts w:asciiTheme="minorHAnsi" w:hAnsiTheme="minorHAnsi" w:cstheme="majorBidi"/>
          <w:b/>
          <w:bCs/>
        </w:rPr>
        <w:t xml:space="preserve"> percent), </w:t>
      </w:r>
      <w:r w:rsidR="00BF5352" w:rsidRPr="008932A7">
        <w:rPr>
          <w:rFonts w:asciiTheme="minorHAnsi" w:hAnsiTheme="minorHAnsi" w:cstheme="majorBidi"/>
          <w:b/>
          <w:bCs/>
        </w:rPr>
        <w:t xml:space="preserve">and in the balance of </w:t>
      </w:r>
      <w:r w:rsidR="00AC1871" w:rsidRPr="008932A7">
        <w:rPr>
          <w:rFonts w:asciiTheme="minorHAnsi" w:hAnsiTheme="minorHAnsi" w:cstheme="majorBidi"/>
          <w:b/>
          <w:bCs/>
        </w:rPr>
        <w:t>corporate bonds</w:t>
      </w:r>
      <w:r w:rsidR="00C6332F" w:rsidRPr="008932A7">
        <w:rPr>
          <w:rFonts w:asciiTheme="minorHAnsi" w:hAnsiTheme="minorHAnsi" w:cstheme="majorBidi"/>
          <w:b/>
          <w:bCs/>
        </w:rPr>
        <w:t xml:space="preserve"> </w:t>
      </w:r>
      <w:r w:rsidR="004B301C" w:rsidRPr="008932A7">
        <w:rPr>
          <w:rFonts w:asciiTheme="minorHAnsi" w:hAnsiTheme="minorHAnsi" w:cstheme="majorBidi"/>
          <w:b/>
          <w:bCs/>
        </w:rPr>
        <w:t>(</w:t>
      </w:r>
      <w:r w:rsidR="00AC1871" w:rsidRPr="008932A7">
        <w:rPr>
          <w:rFonts w:asciiTheme="minorHAnsi" w:hAnsiTheme="minorHAnsi" w:cstheme="majorBidi"/>
          <w:b/>
          <w:bCs/>
        </w:rPr>
        <w:t>2.1</w:t>
      </w:r>
      <w:r w:rsidR="00C6332F" w:rsidRPr="008932A7">
        <w:rPr>
          <w:rFonts w:asciiTheme="minorHAnsi" w:hAnsiTheme="minorHAnsi" w:cstheme="majorBidi"/>
          <w:b/>
          <w:bCs/>
        </w:rPr>
        <w:t xml:space="preserve"> percent)</w:t>
      </w:r>
      <w:r w:rsidR="004B301C" w:rsidRPr="008932A7">
        <w:rPr>
          <w:rFonts w:asciiTheme="minorHAnsi" w:hAnsiTheme="minorHAnsi" w:cstheme="majorBidi"/>
          <w:b/>
          <w:bCs/>
        </w:rPr>
        <w:t>.</w:t>
      </w:r>
    </w:p>
    <w:p w14:paraId="2F871BEC" w14:textId="36897AC2" w:rsidR="00365255" w:rsidRPr="008932A7" w:rsidRDefault="00077422" w:rsidP="00AC1871">
      <w:pPr>
        <w:numPr>
          <w:ilvl w:val="0"/>
          <w:numId w:val="17"/>
        </w:numPr>
        <w:tabs>
          <w:tab w:val="left" w:pos="1134"/>
        </w:tabs>
        <w:bidi w:val="0"/>
        <w:spacing w:line="300" w:lineRule="exact"/>
        <w:jc w:val="both"/>
        <w:rPr>
          <w:rFonts w:asciiTheme="minorHAnsi" w:hAnsiTheme="minorHAnsi" w:cstheme="majorBidi"/>
          <w:b/>
          <w:bCs/>
        </w:rPr>
      </w:pPr>
      <w:r w:rsidRPr="008932A7">
        <w:rPr>
          <w:rFonts w:asciiTheme="minorHAnsi" w:hAnsiTheme="minorHAnsi" w:cstheme="majorBidi"/>
          <w:b/>
          <w:bCs/>
        </w:rPr>
        <w:t xml:space="preserve">The </w:t>
      </w:r>
      <w:r w:rsidR="004E3447" w:rsidRPr="008932A7">
        <w:rPr>
          <w:rFonts w:asciiTheme="minorHAnsi" w:hAnsiTheme="minorHAnsi" w:cstheme="majorBidi"/>
          <w:b/>
          <w:bCs/>
        </w:rPr>
        <w:t xml:space="preserve">balance of the asset portfolio managed by institutional investors </w:t>
      </w:r>
      <w:r w:rsidR="006540B7" w:rsidRPr="008932A7">
        <w:rPr>
          <w:rFonts w:asciiTheme="minorHAnsi" w:hAnsiTheme="minorHAnsi" w:cstheme="majorBidi"/>
          <w:b/>
          <w:bCs/>
        </w:rPr>
        <w:t xml:space="preserve">increased </w:t>
      </w:r>
      <w:r w:rsidRPr="008932A7">
        <w:rPr>
          <w:rFonts w:asciiTheme="minorHAnsi" w:hAnsiTheme="minorHAnsi" w:cstheme="majorBidi"/>
          <w:b/>
          <w:bCs/>
        </w:rPr>
        <w:t xml:space="preserve">in the </w:t>
      </w:r>
      <w:r w:rsidR="00AC1871" w:rsidRPr="008932A7">
        <w:rPr>
          <w:rFonts w:asciiTheme="minorHAnsi" w:hAnsiTheme="minorHAnsi" w:cstheme="majorBidi"/>
          <w:b/>
          <w:bCs/>
        </w:rPr>
        <w:t>second</w:t>
      </w:r>
      <w:r w:rsidR="006B32D0" w:rsidRPr="008932A7">
        <w:rPr>
          <w:rFonts w:asciiTheme="minorHAnsi" w:hAnsiTheme="minorHAnsi" w:cstheme="majorBidi"/>
          <w:b/>
          <w:bCs/>
        </w:rPr>
        <w:t xml:space="preserve"> quarter</w:t>
      </w:r>
      <w:r w:rsidRPr="008932A7">
        <w:rPr>
          <w:rFonts w:asciiTheme="minorHAnsi" w:hAnsiTheme="minorHAnsi" w:cstheme="majorBidi"/>
          <w:b/>
          <w:bCs/>
        </w:rPr>
        <w:t xml:space="preserve"> by approximately NIS </w:t>
      </w:r>
      <w:r w:rsidR="00AC1871" w:rsidRPr="008932A7">
        <w:rPr>
          <w:rFonts w:asciiTheme="minorHAnsi" w:hAnsiTheme="minorHAnsi" w:cstheme="majorBidi"/>
          <w:b/>
          <w:bCs/>
        </w:rPr>
        <w:t>41</w:t>
      </w:r>
      <w:r w:rsidR="00664042" w:rsidRPr="008932A7">
        <w:rPr>
          <w:rFonts w:asciiTheme="minorHAnsi" w:hAnsiTheme="minorHAnsi" w:cstheme="majorBidi"/>
          <w:b/>
          <w:bCs/>
        </w:rPr>
        <w:t xml:space="preserve"> </w:t>
      </w:r>
      <w:r w:rsidRPr="008932A7">
        <w:rPr>
          <w:rFonts w:asciiTheme="minorHAnsi" w:hAnsiTheme="minorHAnsi" w:cstheme="majorBidi"/>
          <w:b/>
          <w:bCs/>
        </w:rPr>
        <w:t>billion (</w:t>
      </w:r>
      <w:r w:rsidR="00AC1871" w:rsidRPr="008932A7">
        <w:rPr>
          <w:rFonts w:asciiTheme="minorHAnsi" w:hAnsiTheme="minorHAnsi" w:cstheme="majorBidi"/>
          <w:b/>
          <w:bCs/>
        </w:rPr>
        <w:t>1.6</w:t>
      </w:r>
      <w:r w:rsidR="00BF5352" w:rsidRPr="008932A7">
        <w:rPr>
          <w:rFonts w:asciiTheme="minorHAnsi" w:hAnsiTheme="minorHAnsi" w:cstheme="majorBidi"/>
          <w:b/>
          <w:bCs/>
        </w:rPr>
        <w:t xml:space="preserve"> </w:t>
      </w:r>
      <w:r w:rsidR="00664042" w:rsidRPr="008932A7">
        <w:rPr>
          <w:rFonts w:asciiTheme="minorHAnsi" w:hAnsiTheme="minorHAnsi" w:cstheme="majorBidi"/>
          <w:b/>
          <w:bCs/>
        </w:rPr>
        <w:t>p</w:t>
      </w:r>
      <w:r w:rsidRPr="008932A7">
        <w:rPr>
          <w:rFonts w:asciiTheme="minorHAnsi" w:hAnsiTheme="minorHAnsi" w:cstheme="majorBidi"/>
          <w:b/>
          <w:bCs/>
        </w:rPr>
        <w:t xml:space="preserve">ercent), to NIS </w:t>
      </w:r>
      <w:r w:rsidR="00AA4DFA" w:rsidRPr="008932A7">
        <w:rPr>
          <w:rFonts w:asciiTheme="minorHAnsi" w:hAnsiTheme="minorHAnsi" w:cstheme="majorBidi"/>
          <w:b/>
          <w:bCs/>
        </w:rPr>
        <w:t>2</w:t>
      </w:r>
      <w:r w:rsidR="00455E2B" w:rsidRPr="008932A7">
        <w:rPr>
          <w:rFonts w:asciiTheme="minorHAnsi" w:hAnsiTheme="minorHAnsi" w:cstheme="majorBidi"/>
          <w:b/>
          <w:bCs/>
        </w:rPr>
        <w:t>.</w:t>
      </w:r>
      <w:r w:rsidR="004B301C" w:rsidRPr="008932A7">
        <w:rPr>
          <w:rFonts w:asciiTheme="minorHAnsi" w:hAnsiTheme="minorHAnsi" w:cstheme="majorBidi"/>
          <w:b/>
          <w:bCs/>
        </w:rPr>
        <w:t>6</w:t>
      </w:r>
      <w:r w:rsidR="00AC1871" w:rsidRPr="008932A7">
        <w:rPr>
          <w:rFonts w:asciiTheme="minorHAnsi" w:hAnsiTheme="minorHAnsi" w:cstheme="majorBidi"/>
          <w:b/>
          <w:bCs/>
        </w:rPr>
        <w:t>6</w:t>
      </w:r>
      <w:r w:rsidR="00AA4DFA" w:rsidRPr="008932A7">
        <w:rPr>
          <w:rFonts w:asciiTheme="minorHAnsi" w:hAnsiTheme="minorHAnsi" w:cstheme="majorBidi"/>
          <w:b/>
          <w:bCs/>
        </w:rPr>
        <w:t xml:space="preserve"> </w:t>
      </w:r>
      <w:r w:rsidRPr="008932A7">
        <w:rPr>
          <w:rFonts w:asciiTheme="minorHAnsi" w:hAnsiTheme="minorHAnsi" w:cstheme="majorBidi"/>
          <w:b/>
          <w:bCs/>
        </w:rPr>
        <w:t>trillion</w:t>
      </w:r>
      <w:r w:rsidR="00002378" w:rsidRPr="008932A7">
        <w:rPr>
          <w:rFonts w:asciiTheme="minorHAnsi" w:hAnsiTheme="minorHAnsi" w:cstheme="majorBidi"/>
          <w:b/>
          <w:bCs/>
        </w:rPr>
        <w:t xml:space="preserve"> at the end of the quarter</w:t>
      </w:r>
      <w:r w:rsidRPr="008932A7">
        <w:rPr>
          <w:rFonts w:asciiTheme="minorHAnsi" w:hAnsiTheme="minorHAnsi" w:cstheme="majorBidi"/>
          <w:b/>
          <w:bCs/>
        </w:rPr>
        <w:t>.</w:t>
      </w:r>
      <w:r w:rsidR="00C72CDB" w:rsidRPr="008932A7">
        <w:rPr>
          <w:rFonts w:asciiTheme="minorHAnsi" w:hAnsiTheme="minorHAnsi" w:cstheme="majorBidi"/>
          <w:b/>
          <w:bCs/>
        </w:rPr>
        <w:t xml:space="preserve"> </w:t>
      </w:r>
    </w:p>
    <w:p w14:paraId="318EB082" w14:textId="3F66CD37" w:rsidR="00365255" w:rsidRPr="008932A7" w:rsidRDefault="00012BEC" w:rsidP="00AC1871">
      <w:pPr>
        <w:numPr>
          <w:ilvl w:val="0"/>
          <w:numId w:val="17"/>
        </w:numPr>
        <w:bidi w:val="0"/>
        <w:spacing w:line="300" w:lineRule="exact"/>
        <w:jc w:val="both"/>
        <w:rPr>
          <w:rFonts w:asciiTheme="minorHAnsi" w:hAnsiTheme="minorHAnsi" w:cstheme="majorBidi"/>
          <w:b/>
          <w:bCs/>
        </w:rPr>
      </w:pPr>
      <w:r w:rsidRPr="008932A7">
        <w:rPr>
          <w:rFonts w:asciiTheme="minorHAnsi" w:hAnsiTheme="minorHAnsi" w:cstheme="majorBidi"/>
          <w:b/>
          <w:bCs/>
        </w:rPr>
        <w:t xml:space="preserve">Institutional investors’ rate of exposure to </w:t>
      </w:r>
      <w:r w:rsidR="00FD2F3E" w:rsidRPr="008932A7">
        <w:rPr>
          <w:rFonts w:asciiTheme="minorHAnsi" w:hAnsiTheme="minorHAnsi" w:cstheme="majorBidi"/>
          <w:b/>
          <w:bCs/>
        </w:rPr>
        <w:t xml:space="preserve">foreign </w:t>
      </w:r>
      <w:r w:rsidR="004B301C" w:rsidRPr="008932A7">
        <w:rPr>
          <w:rFonts w:asciiTheme="minorHAnsi" w:hAnsiTheme="minorHAnsi" w:cstheme="majorBidi"/>
          <w:b/>
          <w:bCs/>
        </w:rPr>
        <w:t xml:space="preserve">assets and to </w:t>
      </w:r>
      <w:r w:rsidRPr="008932A7">
        <w:rPr>
          <w:rFonts w:asciiTheme="minorHAnsi" w:hAnsiTheme="minorHAnsi" w:cstheme="majorBidi"/>
          <w:b/>
          <w:bCs/>
        </w:rPr>
        <w:t xml:space="preserve">foreign </w:t>
      </w:r>
      <w:r w:rsidR="00664042" w:rsidRPr="008932A7">
        <w:rPr>
          <w:rFonts w:asciiTheme="minorHAnsi" w:hAnsiTheme="minorHAnsi" w:cstheme="majorBidi"/>
          <w:b/>
          <w:bCs/>
        </w:rPr>
        <w:t>currency</w:t>
      </w:r>
      <w:r w:rsidR="004D2C0E" w:rsidRPr="008932A7">
        <w:rPr>
          <w:rFonts w:asciiTheme="minorHAnsi" w:hAnsiTheme="minorHAnsi" w:cstheme="majorBidi"/>
          <w:b/>
          <w:bCs/>
        </w:rPr>
        <w:t xml:space="preserve"> </w:t>
      </w:r>
      <w:r w:rsidR="0082518A" w:rsidRPr="008932A7">
        <w:rPr>
          <w:rFonts w:asciiTheme="minorHAnsi" w:hAnsiTheme="minorHAnsi" w:cstheme="majorBidi"/>
          <w:b/>
          <w:bCs/>
        </w:rPr>
        <w:t xml:space="preserve">increased by </w:t>
      </w:r>
      <w:r w:rsidR="00AC1871" w:rsidRPr="008932A7">
        <w:rPr>
          <w:rFonts w:asciiTheme="minorHAnsi" w:hAnsiTheme="minorHAnsi" w:cstheme="majorBidi"/>
          <w:b/>
          <w:bCs/>
        </w:rPr>
        <w:t>about 2.3</w:t>
      </w:r>
      <w:r w:rsidR="004B301C" w:rsidRPr="008932A7">
        <w:rPr>
          <w:rFonts w:asciiTheme="minorHAnsi" w:hAnsiTheme="minorHAnsi" w:cstheme="majorBidi"/>
          <w:b/>
          <w:bCs/>
        </w:rPr>
        <w:t xml:space="preserve"> </w:t>
      </w:r>
      <w:r w:rsidR="0082518A" w:rsidRPr="008932A7">
        <w:rPr>
          <w:rFonts w:asciiTheme="minorHAnsi" w:hAnsiTheme="minorHAnsi" w:cstheme="majorBidi"/>
          <w:b/>
          <w:bCs/>
        </w:rPr>
        <w:t xml:space="preserve">percentage points </w:t>
      </w:r>
      <w:r w:rsidR="004B301C" w:rsidRPr="008932A7">
        <w:rPr>
          <w:rFonts w:asciiTheme="minorHAnsi" w:hAnsiTheme="minorHAnsi" w:cstheme="majorBidi"/>
          <w:b/>
          <w:bCs/>
        </w:rPr>
        <w:t xml:space="preserve">and by </w:t>
      </w:r>
      <w:r w:rsidR="00AC1871" w:rsidRPr="008932A7">
        <w:rPr>
          <w:rFonts w:asciiTheme="minorHAnsi" w:hAnsiTheme="minorHAnsi" w:cstheme="majorBidi"/>
          <w:b/>
          <w:bCs/>
        </w:rPr>
        <w:t>1</w:t>
      </w:r>
      <w:r w:rsidR="004B301C" w:rsidRPr="008932A7">
        <w:rPr>
          <w:rFonts w:asciiTheme="minorHAnsi" w:hAnsiTheme="minorHAnsi" w:cstheme="majorBidi"/>
          <w:b/>
          <w:bCs/>
        </w:rPr>
        <w:t xml:space="preserve"> percentage point, </w:t>
      </w:r>
      <w:r w:rsidR="00FD2F3E" w:rsidRPr="008932A7">
        <w:rPr>
          <w:rFonts w:asciiTheme="minorHAnsi" w:hAnsiTheme="minorHAnsi" w:cstheme="majorBidi"/>
          <w:b/>
          <w:bCs/>
        </w:rPr>
        <w:t xml:space="preserve">respectively, to </w:t>
      </w:r>
      <w:r w:rsidR="00E27A87" w:rsidRPr="008932A7">
        <w:rPr>
          <w:rFonts w:asciiTheme="minorHAnsi" w:hAnsiTheme="minorHAnsi" w:cstheme="majorBidi"/>
          <w:b/>
          <w:bCs/>
        </w:rPr>
        <w:t>approximately</w:t>
      </w:r>
      <w:r w:rsidR="00FD2F3E" w:rsidRPr="008932A7">
        <w:rPr>
          <w:rFonts w:asciiTheme="minorHAnsi" w:hAnsiTheme="minorHAnsi" w:cstheme="majorBidi"/>
          <w:b/>
          <w:bCs/>
        </w:rPr>
        <w:t xml:space="preserve"> 4</w:t>
      </w:r>
      <w:r w:rsidR="00AC1871" w:rsidRPr="008932A7">
        <w:rPr>
          <w:rFonts w:asciiTheme="minorHAnsi" w:hAnsiTheme="minorHAnsi" w:cstheme="majorBidi"/>
          <w:b/>
          <w:bCs/>
        </w:rPr>
        <w:t>7</w:t>
      </w:r>
      <w:r w:rsidR="00FD2F3E" w:rsidRPr="008932A7">
        <w:rPr>
          <w:rFonts w:asciiTheme="minorHAnsi" w:hAnsiTheme="minorHAnsi" w:cstheme="majorBidi"/>
          <w:b/>
          <w:bCs/>
        </w:rPr>
        <w:t xml:space="preserve"> percent and 2</w:t>
      </w:r>
      <w:r w:rsidR="00AC1871" w:rsidRPr="008932A7">
        <w:rPr>
          <w:rFonts w:asciiTheme="minorHAnsi" w:hAnsiTheme="minorHAnsi" w:cstheme="majorBidi"/>
          <w:b/>
          <w:bCs/>
        </w:rPr>
        <w:t>3</w:t>
      </w:r>
      <w:r w:rsidR="00FD2F3E" w:rsidRPr="008932A7">
        <w:rPr>
          <w:rFonts w:asciiTheme="minorHAnsi" w:hAnsiTheme="minorHAnsi" w:cstheme="majorBidi"/>
          <w:b/>
          <w:bCs/>
        </w:rPr>
        <w:t>.6</w:t>
      </w:r>
      <w:r w:rsidR="0082518A" w:rsidRPr="008932A7">
        <w:rPr>
          <w:rFonts w:asciiTheme="minorHAnsi" w:hAnsiTheme="minorHAnsi" w:cstheme="majorBidi"/>
          <w:b/>
          <w:bCs/>
        </w:rPr>
        <w:t xml:space="preserve"> </w:t>
      </w:r>
      <w:r w:rsidR="00396A86" w:rsidRPr="008932A7">
        <w:rPr>
          <w:rFonts w:asciiTheme="minorHAnsi" w:hAnsiTheme="minorHAnsi" w:cstheme="majorBidi"/>
          <w:b/>
          <w:bCs/>
        </w:rPr>
        <w:t>percent</w:t>
      </w:r>
      <w:r w:rsidR="00FD2F3E" w:rsidRPr="008932A7">
        <w:rPr>
          <w:rFonts w:asciiTheme="minorHAnsi" w:hAnsiTheme="minorHAnsi" w:cstheme="majorBidi"/>
          <w:b/>
          <w:bCs/>
        </w:rPr>
        <w:t>, respectively,</w:t>
      </w:r>
      <w:r w:rsidR="0082518A" w:rsidRPr="008932A7">
        <w:rPr>
          <w:rFonts w:asciiTheme="minorHAnsi" w:hAnsiTheme="minorHAnsi" w:cstheme="majorBidi"/>
          <w:b/>
          <w:bCs/>
        </w:rPr>
        <w:t xml:space="preserve"> at the end of the quarter</w:t>
      </w:r>
      <w:r w:rsidR="00FD2F3E" w:rsidRPr="008932A7">
        <w:rPr>
          <w:rFonts w:asciiTheme="minorHAnsi" w:hAnsiTheme="minorHAnsi" w:cstheme="majorBidi"/>
          <w:b/>
          <w:bCs/>
        </w:rPr>
        <w:t>.</w:t>
      </w:r>
    </w:p>
    <w:p w14:paraId="5908F506" w14:textId="58C95286" w:rsidR="00D52D0D" w:rsidRPr="008932A7" w:rsidRDefault="00365255" w:rsidP="00AC1871">
      <w:pPr>
        <w:numPr>
          <w:ilvl w:val="0"/>
          <w:numId w:val="17"/>
        </w:numPr>
        <w:bidi w:val="0"/>
        <w:spacing w:line="300" w:lineRule="exact"/>
        <w:jc w:val="both"/>
        <w:rPr>
          <w:rFonts w:asciiTheme="minorHAnsi" w:hAnsiTheme="minorHAnsi" w:cstheme="majorBidi"/>
          <w:b/>
          <w:bCs/>
        </w:rPr>
      </w:pPr>
      <w:r w:rsidRPr="008932A7">
        <w:rPr>
          <w:rFonts w:asciiTheme="minorHAnsi" w:hAnsiTheme="minorHAnsi" w:cstheme="majorBidi"/>
          <w:b/>
          <w:bCs/>
        </w:rPr>
        <w:t xml:space="preserve">The value of the portfolio managed by mutual funds </w:t>
      </w:r>
      <w:r w:rsidR="006B2627" w:rsidRPr="008932A7">
        <w:rPr>
          <w:rFonts w:asciiTheme="minorHAnsi" w:hAnsiTheme="minorHAnsi" w:cstheme="majorBidi"/>
          <w:b/>
          <w:bCs/>
        </w:rPr>
        <w:t xml:space="preserve">in Israel </w:t>
      </w:r>
      <w:r w:rsidR="005E4CF0" w:rsidRPr="008932A7">
        <w:rPr>
          <w:rFonts w:asciiTheme="minorHAnsi" w:hAnsiTheme="minorHAnsi" w:cstheme="majorBidi"/>
          <w:b/>
          <w:bCs/>
        </w:rPr>
        <w:t>increased</w:t>
      </w:r>
      <w:r w:rsidR="00073A52" w:rsidRPr="008932A7">
        <w:rPr>
          <w:rFonts w:asciiTheme="minorHAnsi" w:hAnsiTheme="minorHAnsi" w:cstheme="majorBidi"/>
          <w:b/>
          <w:bCs/>
        </w:rPr>
        <w:t xml:space="preserve"> by </w:t>
      </w:r>
      <w:r w:rsidR="00E27A87" w:rsidRPr="008932A7">
        <w:rPr>
          <w:rFonts w:asciiTheme="minorHAnsi" w:hAnsiTheme="minorHAnsi" w:cstheme="majorBidi"/>
          <w:b/>
          <w:bCs/>
        </w:rPr>
        <w:t>approximately</w:t>
      </w:r>
      <w:r w:rsidR="000D28C8" w:rsidRPr="008932A7">
        <w:rPr>
          <w:rFonts w:asciiTheme="minorHAnsi" w:hAnsiTheme="minorHAnsi" w:cstheme="majorBidi"/>
          <w:b/>
          <w:bCs/>
        </w:rPr>
        <w:t xml:space="preserve"> </w:t>
      </w:r>
      <w:r w:rsidR="00073A52" w:rsidRPr="008932A7">
        <w:rPr>
          <w:rFonts w:asciiTheme="minorHAnsi" w:hAnsiTheme="minorHAnsi" w:cstheme="majorBidi"/>
          <w:b/>
          <w:bCs/>
        </w:rPr>
        <w:t xml:space="preserve">NIS </w:t>
      </w:r>
      <w:r w:rsidR="00AC1871" w:rsidRPr="008932A7">
        <w:rPr>
          <w:rFonts w:asciiTheme="minorHAnsi" w:hAnsiTheme="minorHAnsi" w:cstheme="majorBidi"/>
          <w:b/>
          <w:bCs/>
        </w:rPr>
        <w:t>22.5</w:t>
      </w:r>
      <w:r w:rsidR="000D28C8" w:rsidRPr="008932A7">
        <w:rPr>
          <w:rFonts w:asciiTheme="minorHAnsi" w:hAnsiTheme="minorHAnsi" w:cstheme="majorBidi"/>
          <w:b/>
          <w:bCs/>
        </w:rPr>
        <w:t xml:space="preserve"> </w:t>
      </w:r>
      <w:r w:rsidRPr="008932A7">
        <w:rPr>
          <w:rFonts w:asciiTheme="minorHAnsi" w:hAnsiTheme="minorHAnsi" w:cstheme="majorBidi"/>
          <w:b/>
          <w:bCs/>
        </w:rPr>
        <w:t>billion</w:t>
      </w:r>
      <w:r w:rsidR="00A33B68" w:rsidRPr="008932A7">
        <w:rPr>
          <w:rFonts w:asciiTheme="minorHAnsi" w:hAnsiTheme="minorHAnsi" w:cstheme="majorBidi"/>
          <w:b/>
          <w:bCs/>
        </w:rPr>
        <w:t xml:space="preserve"> (</w:t>
      </w:r>
      <w:r w:rsidR="00AC1871" w:rsidRPr="008932A7">
        <w:rPr>
          <w:rFonts w:asciiTheme="minorHAnsi" w:hAnsiTheme="minorHAnsi" w:cstheme="majorBidi"/>
          <w:b/>
          <w:bCs/>
        </w:rPr>
        <w:t>4.5</w:t>
      </w:r>
      <w:r w:rsidR="000D28C8" w:rsidRPr="008932A7">
        <w:rPr>
          <w:rFonts w:asciiTheme="minorHAnsi" w:hAnsiTheme="minorHAnsi" w:cstheme="majorBidi"/>
          <w:b/>
          <w:bCs/>
        </w:rPr>
        <w:t xml:space="preserve"> </w:t>
      </w:r>
      <w:r w:rsidR="00A33B68" w:rsidRPr="008932A7">
        <w:rPr>
          <w:rFonts w:asciiTheme="minorHAnsi" w:hAnsiTheme="minorHAnsi" w:cstheme="majorBidi"/>
          <w:b/>
          <w:bCs/>
        </w:rPr>
        <w:t>percent)</w:t>
      </w:r>
      <w:r w:rsidRPr="008932A7">
        <w:rPr>
          <w:rFonts w:asciiTheme="minorHAnsi" w:hAnsiTheme="minorHAnsi" w:cstheme="majorBidi"/>
          <w:b/>
          <w:bCs/>
        </w:rPr>
        <w:t xml:space="preserve"> in the </w:t>
      </w:r>
      <w:r w:rsidR="00AC1871" w:rsidRPr="008932A7">
        <w:rPr>
          <w:rFonts w:asciiTheme="minorHAnsi" w:hAnsiTheme="minorHAnsi" w:cstheme="majorBidi"/>
          <w:b/>
          <w:bCs/>
        </w:rPr>
        <w:t>second</w:t>
      </w:r>
      <w:r w:rsidR="006B32D0" w:rsidRPr="008932A7">
        <w:rPr>
          <w:rFonts w:asciiTheme="minorHAnsi" w:hAnsiTheme="minorHAnsi" w:cstheme="majorBidi"/>
          <w:b/>
          <w:bCs/>
        </w:rPr>
        <w:t xml:space="preserve"> quarter</w:t>
      </w:r>
      <w:r w:rsidR="00CB598D" w:rsidRPr="008932A7">
        <w:rPr>
          <w:rFonts w:asciiTheme="minorHAnsi" w:hAnsiTheme="minorHAnsi" w:cstheme="majorBidi"/>
          <w:b/>
          <w:bCs/>
        </w:rPr>
        <w:t xml:space="preserve">, </w:t>
      </w:r>
      <w:r w:rsidR="0099474B" w:rsidRPr="008932A7">
        <w:rPr>
          <w:rFonts w:asciiTheme="minorHAnsi" w:hAnsiTheme="minorHAnsi" w:cstheme="majorBidi"/>
          <w:b/>
          <w:bCs/>
        </w:rPr>
        <w:t>to</w:t>
      </w:r>
      <w:r w:rsidR="00CB598D" w:rsidRPr="008932A7">
        <w:rPr>
          <w:rFonts w:asciiTheme="minorHAnsi" w:hAnsiTheme="minorHAnsi" w:cstheme="majorBidi"/>
          <w:b/>
          <w:bCs/>
        </w:rPr>
        <w:t xml:space="preserve"> NIS </w:t>
      </w:r>
      <w:r w:rsidR="00AC1871" w:rsidRPr="008932A7">
        <w:rPr>
          <w:rFonts w:asciiTheme="minorHAnsi" w:hAnsiTheme="minorHAnsi" w:cstheme="majorBidi"/>
          <w:b/>
          <w:bCs/>
        </w:rPr>
        <w:t>518.2</w:t>
      </w:r>
      <w:r w:rsidR="000D28C8" w:rsidRPr="008932A7">
        <w:rPr>
          <w:rFonts w:asciiTheme="minorHAnsi" w:hAnsiTheme="minorHAnsi" w:cstheme="majorBidi"/>
          <w:b/>
          <w:bCs/>
        </w:rPr>
        <w:t xml:space="preserve"> </w:t>
      </w:r>
      <w:r w:rsidR="00CB598D" w:rsidRPr="008932A7">
        <w:rPr>
          <w:rFonts w:asciiTheme="minorHAnsi" w:hAnsiTheme="minorHAnsi" w:cstheme="majorBidi"/>
          <w:b/>
          <w:bCs/>
        </w:rPr>
        <w:t>billion</w:t>
      </w:r>
      <w:r w:rsidR="00AA2086" w:rsidRPr="008932A7">
        <w:rPr>
          <w:rFonts w:asciiTheme="minorHAnsi" w:hAnsiTheme="minorHAnsi" w:cstheme="majorBidi"/>
          <w:b/>
          <w:bCs/>
        </w:rPr>
        <w:t>.</w:t>
      </w:r>
      <w:r w:rsidR="00B228AF" w:rsidRPr="008932A7">
        <w:rPr>
          <w:rFonts w:asciiTheme="minorHAnsi" w:hAnsiTheme="minorHAnsi" w:cstheme="majorBidi"/>
          <w:b/>
          <w:bCs/>
        </w:rPr>
        <w:t xml:space="preserve"> </w:t>
      </w:r>
      <w:r w:rsidR="000D28C8" w:rsidRPr="008932A7">
        <w:rPr>
          <w:rFonts w:asciiTheme="minorHAnsi" w:hAnsiTheme="minorHAnsi" w:cstheme="majorBidi"/>
          <w:b/>
          <w:bCs/>
        </w:rPr>
        <w:t xml:space="preserve">There were net </w:t>
      </w:r>
      <w:r w:rsidR="00A6739D" w:rsidRPr="008932A7">
        <w:rPr>
          <w:rFonts w:asciiTheme="minorHAnsi" w:hAnsiTheme="minorHAnsi" w:cstheme="majorBidi"/>
          <w:b/>
          <w:bCs/>
        </w:rPr>
        <w:t>new investment</w:t>
      </w:r>
      <w:r w:rsidR="0030109B" w:rsidRPr="008932A7">
        <w:rPr>
          <w:rFonts w:asciiTheme="minorHAnsi" w:hAnsiTheme="minorHAnsi" w:cstheme="majorBidi"/>
          <w:b/>
          <w:bCs/>
        </w:rPr>
        <w:t>s</w:t>
      </w:r>
      <w:r w:rsidR="004D2C0E" w:rsidRPr="008932A7">
        <w:rPr>
          <w:rFonts w:asciiTheme="minorHAnsi" w:hAnsiTheme="minorHAnsi" w:cstheme="majorBidi"/>
          <w:b/>
          <w:bCs/>
        </w:rPr>
        <w:t xml:space="preserve">, </w:t>
      </w:r>
      <w:r w:rsidR="00B228AF" w:rsidRPr="008932A7">
        <w:rPr>
          <w:rFonts w:asciiTheme="minorHAnsi" w:hAnsiTheme="minorHAnsi" w:cstheme="majorBidi"/>
          <w:b/>
          <w:bCs/>
        </w:rPr>
        <w:t xml:space="preserve">mainly </w:t>
      </w:r>
      <w:r w:rsidR="004D2C0E" w:rsidRPr="008932A7">
        <w:rPr>
          <w:rFonts w:asciiTheme="minorHAnsi" w:hAnsiTheme="minorHAnsi" w:cstheme="majorBidi"/>
          <w:b/>
          <w:bCs/>
        </w:rPr>
        <w:t>in funds specializing in foreign equities</w:t>
      </w:r>
      <w:r w:rsidR="004D0393" w:rsidRPr="008932A7">
        <w:rPr>
          <w:rFonts w:asciiTheme="minorHAnsi" w:hAnsiTheme="minorHAnsi" w:cstheme="majorBidi"/>
          <w:b/>
          <w:bCs/>
        </w:rPr>
        <w:t xml:space="preserve"> and in shekel money market funds</w:t>
      </w:r>
      <w:r w:rsidR="00A6739D" w:rsidRPr="008932A7">
        <w:rPr>
          <w:rFonts w:asciiTheme="minorHAnsi" w:hAnsiTheme="minorHAnsi" w:cstheme="majorBidi"/>
          <w:b/>
          <w:bCs/>
        </w:rPr>
        <w:t>.</w:t>
      </w:r>
    </w:p>
    <w:p w14:paraId="5DFE35C9" w14:textId="77777777" w:rsidR="00AA2086" w:rsidRPr="008932A7" w:rsidRDefault="00AA2086" w:rsidP="00AA2086">
      <w:pPr>
        <w:bidi w:val="0"/>
        <w:spacing w:line="300" w:lineRule="exact"/>
        <w:jc w:val="both"/>
        <w:rPr>
          <w:rFonts w:asciiTheme="minorHAnsi" w:hAnsiTheme="minorHAnsi" w:cstheme="majorBidi"/>
          <w:b/>
          <w:bCs/>
        </w:rPr>
      </w:pPr>
    </w:p>
    <w:p w14:paraId="47ACBF5F" w14:textId="133F31A5" w:rsidR="00E9221B" w:rsidRPr="008932A7" w:rsidRDefault="00E9221B" w:rsidP="00B228AF">
      <w:pPr>
        <w:pStyle w:val="1"/>
        <w:jc w:val="left"/>
        <w:rPr>
          <w:rFonts w:asciiTheme="minorHAnsi" w:hAnsiTheme="minorHAnsi" w:cstheme="majorBidi"/>
        </w:rPr>
      </w:pPr>
      <w:r w:rsidRPr="008932A7">
        <w:rPr>
          <w:rFonts w:asciiTheme="minorHAnsi" w:hAnsiTheme="minorHAnsi" w:cstheme="majorBidi"/>
        </w:rPr>
        <w:t xml:space="preserve">1. The </w:t>
      </w:r>
      <w:r w:rsidR="00B228AF" w:rsidRPr="008932A7">
        <w:rPr>
          <w:rFonts w:asciiTheme="minorHAnsi" w:hAnsiTheme="minorHAnsi" w:cstheme="majorBidi"/>
        </w:rPr>
        <w:t xml:space="preserve">public’s </w:t>
      </w:r>
      <w:r w:rsidRPr="008932A7">
        <w:rPr>
          <w:rFonts w:asciiTheme="minorHAnsi" w:hAnsiTheme="minorHAnsi" w:cstheme="majorBidi"/>
        </w:rPr>
        <w:t>total assets portfolio</w:t>
      </w:r>
    </w:p>
    <w:p w14:paraId="110E3736" w14:textId="4595293B" w:rsidR="00D223DE" w:rsidRPr="008932A7" w:rsidRDefault="00D223DE" w:rsidP="00E93313">
      <w:pPr>
        <w:tabs>
          <w:tab w:val="left" w:pos="1134"/>
        </w:tabs>
        <w:bidi w:val="0"/>
        <w:spacing w:line="300" w:lineRule="exact"/>
        <w:jc w:val="both"/>
        <w:rPr>
          <w:rFonts w:asciiTheme="minorHAnsi" w:hAnsiTheme="minorHAnsi" w:cstheme="majorBidi"/>
          <w:b/>
          <w:bCs/>
        </w:rPr>
      </w:pPr>
    </w:p>
    <w:p w14:paraId="02479FBB" w14:textId="1009B49A" w:rsidR="00633277" w:rsidRPr="008932A7" w:rsidRDefault="003A5B8D" w:rsidP="003D31DD">
      <w:pPr>
        <w:tabs>
          <w:tab w:val="left" w:pos="1134"/>
        </w:tabs>
        <w:bidi w:val="0"/>
        <w:spacing w:line="300" w:lineRule="exact"/>
        <w:jc w:val="both"/>
        <w:rPr>
          <w:rFonts w:asciiTheme="minorHAnsi" w:hAnsiTheme="minorHAnsi" w:cstheme="majorBidi"/>
        </w:rPr>
      </w:pPr>
      <w:r w:rsidRPr="008932A7">
        <w:rPr>
          <w:rFonts w:asciiTheme="minorHAnsi" w:hAnsiTheme="minorHAnsi" w:cstheme="majorBidi"/>
          <w:b/>
          <w:bCs/>
        </w:rPr>
        <w:t xml:space="preserve">In the </w:t>
      </w:r>
      <w:r w:rsidR="003D31DD" w:rsidRPr="008932A7">
        <w:rPr>
          <w:rFonts w:asciiTheme="minorHAnsi" w:hAnsiTheme="minorHAnsi" w:cstheme="majorBidi"/>
          <w:b/>
          <w:bCs/>
        </w:rPr>
        <w:t>second</w:t>
      </w:r>
      <w:r w:rsidR="006B32D0" w:rsidRPr="008932A7">
        <w:rPr>
          <w:rFonts w:asciiTheme="minorHAnsi" w:hAnsiTheme="minorHAnsi" w:cstheme="majorBidi"/>
          <w:b/>
          <w:bCs/>
        </w:rPr>
        <w:t xml:space="preserve"> quarter</w:t>
      </w:r>
      <w:r w:rsidRPr="008932A7">
        <w:rPr>
          <w:rFonts w:asciiTheme="minorHAnsi" w:hAnsiTheme="minorHAnsi" w:cstheme="majorBidi"/>
          <w:b/>
          <w:bCs/>
        </w:rPr>
        <w:t xml:space="preserve"> of </w:t>
      </w:r>
      <w:r w:rsidR="003316A5" w:rsidRPr="008932A7">
        <w:rPr>
          <w:rFonts w:asciiTheme="minorHAnsi" w:hAnsiTheme="minorHAnsi" w:cstheme="majorBidi"/>
          <w:b/>
          <w:bCs/>
        </w:rPr>
        <w:t>2024</w:t>
      </w:r>
      <w:r w:rsidRPr="008932A7">
        <w:rPr>
          <w:rFonts w:asciiTheme="minorHAnsi" w:hAnsiTheme="minorHAnsi" w:cstheme="majorBidi"/>
          <w:b/>
          <w:bCs/>
        </w:rPr>
        <w:t xml:space="preserve">, </w:t>
      </w:r>
      <w:r w:rsidR="005A43E3" w:rsidRPr="008932A7">
        <w:rPr>
          <w:rFonts w:asciiTheme="minorHAnsi" w:hAnsiTheme="minorHAnsi" w:cstheme="majorBidi"/>
        </w:rPr>
        <w:t xml:space="preserve">the balance of the public’s financial assets portfolio </w:t>
      </w:r>
      <w:r w:rsidR="00E2788C" w:rsidRPr="008932A7">
        <w:rPr>
          <w:rFonts w:asciiTheme="minorHAnsi" w:hAnsiTheme="minorHAnsi" w:cstheme="majorBidi"/>
        </w:rPr>
        <w:t>increas</w:t>
      </w:r>
      <w:r w:rsidR="00D223DE" w:rsidRPr="008932A7">
        <w:rPr>
          <w:rFonts w:asciiTheme="minorHAnsi" w:hAnsiTheme="minorHAnsi" w:cstheme="majorBidi"/>
        </w:rPr>
        <w:t>ed</w:t>
      </w:r>
      <w:r w:rsidR="001D680D" w:rsidRPr="008932A7">
        <w:rPr>
          <w:rFonts w:asciiTheme="minorHAnsi" w:hAnsiTheme="minorHAnsi" w:cstheme="majorBidi"/>
        </w:rPr>
        <w:t xml:space="preserve"> </w:t>
      </w:r>
      <w:r w:rsidR="005A43E3" w:rsidRPr="008932A7">
        <w:rPr>
          <w:rFonts w:asciiTheme="minorHAnsi" w:hAnsiTheme="minorHAnsi" w:cstheme="majorBidi"/>
        </w:rPr>
        <w:t xml:space="preserve">by </w:t>
      </w:r>
      <w:r w:rsidR="00E93313" w:rsidRPr="008932A7">
        <w:rPr>
          <w:rFonts w:asciiTheme="minorHAnsi" w:hAnsiTheme="minorHAnsi" w:cstheme="majorBidi"/>
        </w:rPr>
        <w:t>approximately</w:t>
      </w:r>
      <w:r w:rsidR="005A43E3" w:rsidRPr="008932A7">
        <w:rPr>
          <w:rFonts w:asciiTheme="minorHAnsi" w:hAnsiTheme="minorHAnsi" w:cstheme="majorBidi"/>
        </w:rPr>
        <w:t xml:space="preserve"> NIS </w:t>
      </w:r>
      <w:r w:rsidR="003D31DD" w:rsidRPr="008932A7">
        <w:rPr>
          <w:rFonts w:asciiTheme="minorHAnsi" w:hAnsiTheme="minorHAnsi" w:cstheme="majorBidi"/>
        </w:rPr>
        <w:t>65</w:t>
      </w:r>
      <w:r w:rsidR="001D680D" w:rsidRPr="008932A7">
        <w:rPr>
          <w:rFonts w:asciiTheme="minorHAnsi" w:hAnsiTheme="minorHAnsi" w:cstheme="majorBidi"/>
        </w:rPr>
        <w:t xml:space="preserve"> </w:t>
      </w:r>
      <w:r w:rsidR="005A43E3" w:rsidRPr="008932A7">
        <w:rPr>
          <w:rFonts w:asciiTheme="minorHAnsi" w:hAnsiTheme="minorHAnsi" w:cstheme="majorBidi"/>
        </w:rPr>
        <w:t xml:space="preserve">billion </w:t>
      </w:r>
      <w:r w:rsidR="00633277" w:rsidRPr="008932A7">
        <w:rPr>
          <w:rFonts w:asciiTheme="minorHAnsi" w:hAnsiTheme="minorHAnsi" w:cstheme="majorBidi"/>
        </w:rPr>
        <w:t>(</w:t>
      </w:r>
      <w:r w:rsidR="003D31DD" w:rsidRPr="008932A7">
        <w:rPr>
          <w:rFonts w:asciiTheme="minorHAnsi" w:hAnsiTheme="minorHAnsi" w:cstheme="majorBidi"/>
        </w:rPr>
        <w:t>1.15</w:t>
      </w:r>
      <w:r w:rsidR="00350A32" w:rsidRPr="008932A7">
        <w:rPr>
          <w:rFonts w:asciiTheme="minorHAnsi" w:hAnsiTheme="minorHAnsi" w:cstheme="majorBidi"/>
        </w:rPr>
        <w:t xml:space="preserve"> </w:t>
      </w:r>
      <w:r w:rsidR="00633277" w:rsidRPr="008932A7">
        <w:rPr>
          <w:rFonts w:asciiTheme="minorHAnsi" w:hAnsiTheme="minorHAnsi" w:cstheme="majorBidi"/>
        </w:rPr>
        <w:t>percent)</w:t>
      </w:r>
      <w:r w:rsidR="00D223DE" w:rsidRPr="008932A7">
        <w:rPr>
          <w:rFonts w:asciiTheme="minorHAnsi" w:hAnsiTheme="minorHAnsi" w:cstheme="majorBidi"/>
        </w:rPr>
        <w:t>, to</w:t>
      </w:r>
      <w:r w:rsidR="009F3C28" w:rsidRPr="008932A7">
        <w:rPr>
          <w:rFonts w:asciiTheme="minorHAnsi" w:hAnsiTheme="minorHAnsi" w:cstheme="majorBidi"/>
        </w:rPr>
        <w:t xml:space="preserve"> </w:t>
      </w:r>
      <w:r w:rsidR="005A43E3" w:rsidRPr="008932A7">
        <w:rPr>
          <w:rFonts w:asciiTheme="minorHAnsi" w:hAnsiTheme="minorHAnsi" w:cstheme="majorBidi"/>
        </w:rPr>
        <w:t xml:space="preserve">NIS </w:t>
      </w:r>
      <w:r w:rsidR="004D2C0E" w:rsidRPr="008932A7">
        <w:rPr>
          <w:rFonts w:asciiTheme="minorHAnsi" w:hAnsiTheme="minorHAnsi" w:cstheme="majorBidi"/>
        </w:rPr>
        <w:t>5.</w:t>
      </w:r>
      <w:r w:rsidR="003D31DD" w:rsidRPr="008932A7">
        <w:rPr>
          <w:rFonts w:asciiTheme="minorHAnsi" w:hAnsiTheme="minorHAnsi" w:cstheme="majorBidi"/>
        </w:rPr>
        <w:t>75</w:t>
      </w:r>
      <w:r w:rsidR="007905B5" w:rsidRPr="008932A7">
        <w:rPr>
          <w:rFonts w:asciiTheme="minorHAnsi" w:hAnsiTheme="minorHAnsi" w:cstheme="majorBidi"/>
        </w:rPr>
        <w:t xml:space="preserve"> </w:t>
      </w:r>
      <w:r w:rsidR="005A43E3" w:rsidRPr="008932A7">
        <w:rPr>
          <w:rFonts w:asciiTheme="minorHAnsi" w:hAnsiTheme="minorHAnsi" w:cstheme="majorBidi"/>
        </w:rPr>
        <w:t>trillion</w:t>
      </w:r>
      <w:r w:rsidR="00633277" w:rsidRPr="008932A7">
        <w:rPr>
          <w:rFonts w:asciiTheme="minorHAnsi" w:hAnsiTheme="minorHAnsi" w:cstheme="majorBidi"/>
        </w:rPr>
        <w:t xml:space="preserve"> (</w:t>
      </w:r>
      <w:r w:rsidR="005A43E3" w:rsidRPr="008932A7">
        <w:rPr>
          <w:rFonts w:asciiTheme="minorHAnsi" w:hAnsiTheme="minorHAnsi" w:cstheme="majorBidi"/>
        </w:rPr>
        <w:t>Figure 1)</w:t>
      </w:r>
      <w:r w:rsidR="00350A32" w:rsidRPr="008932A7">
        <w:rPr>
          <w:rFonts w:asciiTheme="minorHAnsi" w:hAnsiTheme="minorHAnsi" w:cstheme="majorBidi"/>
        </w:rPr>
        <w:t>.</w:t>
      </w:r>
      <w:r w:rsidRPr="008932A7">
        <w:rPr>
          <w:rFonts w:asciiTheme="minorHAnsi" w:hAnsiTheme="minorHAnsi" w:cstheme="majorBidi"/>
        </w:rPr>
        <w:t xml:space="preserve"> </w:t>
      </w:r>
      <w:r w:rsidR="00633277" w:rsidRPr="008932A7">
        <w:rPr>
          <w:rFonts w:asciiTheme="minorHAnsi" w:hAnsiTheme="minorHAnsi" w:cstheme="majorBidi"/>
        </w:rPr>
        <w:t>The</w:t>
      </w:r>
      <w:r w:rsidR="00A63123" w:rsidRPr="008932A7">
        <w:rPr>
          <w:rFonts w:asciiTheme="minorHAnsi" w:hAnsiTheme="minorHAnsi" w:cstheme="majorBidi"/>
        </w:rPr>
        <w:t xml:space="preserve"> </w:t>
      </w:r>
      <w:r w:rsidR="00C16F31" w:rsidRPr="008932A7">
        <w:rPr>
          <w:rFonts w:asciiTheme="minorHAnsi" w:hAnsiTheme="minorHAnsi" w:cstheme="majorBidi"/>
        </w:rPr>
        <w:t xml:space="preserve">weight </w:t>
      </w:r>
      <w:r w:rsidRPr="008932A7">
        <w:rPr>
          <w:rFonts w:asciiTheme="minorHAnsi" w:hAnsiTheme="minorHAnsi" w:cstheme="majorBidi"/>
        </w:rPr>
        <w:t xml:space="preserve">of the </w:t>
      </w:r>
      <w:r w:rsidR="00A4321B" w:rsidRPr="008932A7">
        <w:rPr>
          <w:rFonts w:asciiTheme="minorHAnsi" w:hAnsiTheme="minorHAnsi" w:cstheme="majorBidi"/>
        </w:rPr>
        <w:t xml:space="preserve">public’s financial assets portfolio </w:t>
      </w:r>
      <w:r w:rsidR="002F3824" w:rsidRPr="008932A7">
        <w:rPr>
          <w:rFonts w:asciiTheme="minorHAnsi" w:hAnsiTheme="minorHAnsi" w:cstheme="majorBidi"/>
        </w:rPr>
        <w:t xml:space="preserve">relative to </w:t>
      </w:r>
      <w:r w:rsidR="00A4321B" w:rsidRPr="008932A7">
        <w:rPr>
          <w:rFonts w:asciiTheme="minorHAnsi" w:hAnsiTheme="minorHAnsi" w:cstheme="majorBidi"/>
        </w:rPr>
        <w:t>GDP</w:t>
      </w:r>
      <w:r w:rsidR="00633277" w:rsidRPr="008932A7">
        <w:rPr>
          <w:rFonts w:asciiTheme="minorHAnsi" w:hAnsiTheme="minorHAnsi" w:cstheme="majorBidi"/>
        </w:rPr>
        <w:t xml:space="preserve"> </w:t>
      </w:r>
      <w:r w:rsidR="00C16F31" w:rsidRPr="008932A7">
        <w:rPr>
          <w:rFonts w:asciiTheme="minorHAnsi" w:hAnsiTheme="minorHAnsi" w:cstheme="majorBidi"/>
        </w:rPr>
        <w:t>increased</w:t>
      </w:r>
      <w:r w:rsidR="007905B5" w:rsidRPr="008932A7">
        <w:rPr>
          <w:rFonts w:asciiTheme="minorHAnsi" w:hAnsiTheme="minorHAnsi" w:cstheme="majorBidi"/>
        </w:rPr>
        <w:t xml:space="preserve"> </w:t>
      </w:r>
      <w:r w:rsidR="00633277" w:rsidRPr="008932A7">
        <w:rPr>
          <w:rFonts w:asciiTheme="minorHAnsi" w:hAnsiTheme="minorHAnsi" w:cstheme="majorBidi"/>
        </w:rPr>
        <w:t xml:space="preserve">by </w:t>
      </w:r>
      <w:r w:rsidR="00E27A87" w:rsidRPr="008932A7">
        <w:rPr>
          <w:rFonts w:asciiTheme="minorHAnsi" w:hAnsiTheme="minorHAnsi" w:cstheme="majorBidi"/>
        </w:rPr>
        <w:t xml:space="preserve">approximately </w:t>
      </w:r>
      <w:r w:rsidR="003D31DD" w:rsidRPr="008932A7">
        <w:rPr>
          <w:rFonts w:asciiTheme="minorHAnsi" w:hAnsiTheme="minorHAnsi" w:cstheme="majorBidi"/>
        </w:rPr>
        <w:t>0.7</w:t>
      </w:r>
      <w:r w:rsidR="00C16F31" w:rsidRPr="008932A7">
        <w:rPr>
          <w:rFonts w:asciiTheme="minorHAnsi" w:hAnsiTheme="minorHAnsi" w:cstheme="majorBidi"/>
        </w:rPr>
        <w:t xml:space="preserve"> </w:t>
      </w:r>
      <w:r w:rsidR="009F3C28" w:rsidRPr="008932A7">
        <w:rPr>
          <w:rFonts w:asciiTheme="minorHAnsi" w:hAnsiTheme="minorHAnsi" w:cstheme="majorBidi"/>
        </w:rPr>
        <w:t>p</w:t>
      </w:r>
      <w:r w:rsidR="00633277" w:rsidRPr="008932A7">
        <w:rPr>
          <w:rFonts w:asciiTheme="minorHAnsi" w:hAnsiTheme="minorHAnsi" w:cstheme="majorBidi"/>
        </w:rPr>
        <w:t>ercentage points, to</w:t>
      </w:r>
      <w:r w:rsidR="00A63123" w:rsidRPr="008932A7">
        <w:rPr>
          <w:rFonts w:asciiTheme="minorHAnsi" w:hAnsiTheme="minorHAnsi" w:cstheme="majorBidi"/>
        </w:rPr>
        <w:t xml:space="preserve"> </w:t>
      </w:r>
      <w:r w:rsidR="00683395" w:rsidRPr="008932A7">
        <w:rPr>
          <w:rFonts w:asciiTheme="minorHAnsi" w:hAnsiTheme="minorHAnsi" w:cstheme="majorBidi"/>
        </w:rPr>
        <w:t xml:space="preserve">about </w:t>
      </w:r>
      <w:r w:rsidR="003D31DD" w:rsidRPr="008932A7">
        <w:rPr>
          <w:rFonts w:asciiTheme="minorHAnsi" w:hAnsiTheme="minorHAnsi" w:cstheme="majorBidi"/>
        </w:rPr>
        <w:t>299</w:t>
      </w:r>
      <w:r w:rsidR="00350A32" w:rsidRPr="008932A7">
        <w:rPr>
          <w:rFonts w:asciiTheme="minorHAnsi" w:hAnsiTheme="minorHAnsi" w:cstheme="majorBidi"/>
        </w:rPr>
        <w:t xml:space="preserve"> </w:t>
      </w:r>
      <w:r w:rsidR="00683395" w:rsidRPr="008932A7">
        <w:rPr>
          <w:rFonts w:asciiTheme="minorHAnsi" w:hAnsiTheme="minorHAnsi" w:cstheme="majorBidi"/>
        </w:rPr>
        <w:t>percent</w:t>
      </w:r>
      <w:r w:rsidR="00155A7B" w:rsidRPr="008932A7">
        <w:rPr>
          <w:rFonts w:asciiTheme="minorHAnsi" w:hAnsiTheme="minorHAnsi" w:cstheme="majorBidi"/>
        </w:rPr>
        <w:t xml:space="preserve"> </w:t>
      </w:r>
      <w:r w:rsidR="001E0BB4" w:rsidRPr="008932A7">
        <w:rPr>
          <w:rFonts w:asciiTheme="minorHAnsi" w:hAnsiTheme="minorHAnsi" w:cstheme="majorBidi"/>
        </w:rPr>
        <w:t>at the end of the quarter</w:t>
      </w:r>
      <w:r w:rsidR="00633277" w:rsidRPr="008932A7">
        <w:rPr>
          <w:rFonts w:asciiTheme="minorHAnsi" w:hAnsiTheme="minorHAnsi" w:cstheme="majorBidi"/>
        </w:rPr>
        <w:t>,</w:t>
      </w:r>
      <w:r w:rsidR="00E2788C" w:rsidRPr="008932A7">
        <w:rPr>
          <w:rFonts w:asciiTheme="minorHAnsi" w:hAnsiTheme="minorHAnsi" w:cstheme="majorBidi"/>
        </w:rPr>
        <w:t xml:space="preserve"> </w:t>
      </w:r>
      <w:r w:rsidR="004D2C0E" w:rsidRPr="008932A7">
        <w:rPr>
          <w:rFonts w:asciiTheme="minorHAnsi" w:hAnsiTheme="minorHAnsi" w:cstheme="majorBidi"/>
        </w:rPr>
        <w:t>as a</w:t>
      </w:r>
      <w:r w:rsidR="00633277" w:rsidRPr="008932A7">
        <w:rPr>
          <w:rFonts w:asciiTheme="minorHAnsi" w:hAnsiTheme="minorHAnsi" w:cstheme="majorBidi"/>
        </w:rPr>
        <w:t xml:space="preserve"> result of </w:t>
      </w:r>
      <w:r w:rsidR="009F3C28" w:rsidRPr="008932A7">
        <w:rPr>
          <w:rFonts w:asciiTheme="minorHAnsi" w:hAnsiTheme="minorHAnsi" w:cstheme="majorBidi"/>
        </w:rPr>
        <w:t>a</w:t>
      </w:r>
      <w:r w:rsidR="00E2788C" w:rsidRPr="008932A7">
        <w:rPr>
          <w:rFonts w:asciiTheme="minorHAnsi" w:hAnsiTheme="minorHAnsi" w:cstheme="majorBidi"/>
        </w:rPr>
        <w:t xml:space="preserve">n increase in </w:t>
      </w:r>
      <w:r w:rsidR="004D2C0E" w:rsidRPr="008932A7">
        <w:rPr>
          <w:rFonts w:asciiTheme="minorHAnsi" w:hAnsiTheme="minorHAnsi" w:cstheme="majorBidi"/>
        </w:rPr>
        <w:t>the asset portfolio</w:t>
      </w:r>
      <w:r w:rsidR="00350A32" w:rsidRPr="008932A7">
        <w:rPr>
          <w:rFonts w:asciiTheme="minorHAnsi" w:hAnsiTheme="minorHAnsi" w:cstheme="majorBidi"/>
        </w:rPr>
        <w:t xml:space="preserve"> that was larger than that of the GDP.</w:t>
      </w:r>
    </w:p>
    <w:p w14:paraId="70213E74" w14:textId="56B2BC6F" w:rsidR="00AC3545" w:rsidRPr="008932A7" w:rsidRDefault="00866391" w:rsidP="00633277">
      <w:pPr>
        <w:tabs>
          <w:tab w:val="left" w:pos="1134"/>
        </w:tabs>
        <w:bidi w:val="0"/>
        <w:spacing w:line="300" w:lineRule="exact"/>
        <w:jc w:val="both"/>
        <w:rPr>
          <w:rFonts w:asciiTheme="minorHAnsi" w:hAnsiTheme="minorHAnsi" w:cstheme="majorBidi"/>
        </w:rPr>
      </w:pPr>
      <w:r w:rsidRPr="008932A7">
        <w:rPr>
          <w:rFonts w:asciiTheme="minorHAnsi" w:hAnsiTheme="minorHAnsi" w:cstheme="majorBidi"/>
          <w:noProof/>
        </w:rPr>
        <w:lastRenderedPageBreak/>
        <w:drawing>
          <wp:anchor distT="0" distB="0" distL="114300" distR="114300" simplePos="0" relativeHeight="251674624" behindDoc="0" locked="0" layoutInCell="1" allowOverlap="1" wp14:anchorId="1CD44810" wp14:editId="7D4481FC">
            <wp:simplePos x="0" y="0"/>
            <wp:positionH relativeFrom="margin">
              <wp:align>center</wp:align>
            </wp:positionH>
            <wp:positionV relativeFrom="paragraph">
              <wp:posOffset>0</wp:posOffset>
            </wp:positionV>
            <wp:extent cx="5629910" cy="2306320"/>
            <wp:effectExtent l="0" t="0" r="8890" b="0"/>
            <wp:wrapSquare wrapText="bothSides"/>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29910" cy="2306320"/>
                    </a:xfrm>
                    <a:prstGeom prst="rect">
                      <a:avLst/>
                    </a:prstGeom>
                    <a:noFill/>
                  </pic:spPr>
                </pic:pic>
              </a:graphicData>
            </a:graphic>
          </wp:anchor>
        </w:drawing>
      </w:r>
    </w:p>
    <w:p w14:paraId="53A692B1" w14:textId="1005AA08" w:rsidR="00BA6F96" w:rsidRPr="008932A7" w:rsidRDefault="00BA6F96" w:rsidP="00442B1C">
      <w:pPr>
        <w:bidi w:val="0"/>
        <w:spacing w:line="300" w:lineRule="exact"/>
        <w:jc w:val="both"/>
        <w:rPr>
          <w:rFonts w:asciiTheme="minorHAnsi" w:hAnsiTheme="minorHAnsi" w:cstheme="majorBidi"/>
        </w:rPr>
      </w:pPr>
    </w:p>
    <w:p w14:paraId="38566E56" w14:textId="1164B055" w:rsidR="00E9221B" w:rsidRPr="008932A7" w:rsidRDefault="002B4397" w:rsidP="007E422E">
      <w:pPr>
        <w:bidi w:val="0"/>
        <w:spacing w:line="300" w:lineRule="exact"/>
        <w:jc w:val="both"/>
        <w:rPr>
          <w:rFonts w:asciiTheme="minorHAnsi" w:hAnsiTheme="minorHAnsi" w:cstheme="majorBidi"/>
          <w:b/>
          <w:bCs/>
        </w:rPr>
      </w:pPr>
      <w:r w:rsidRPr="008932A7">
        <w:rPr>
          <w:rFonts w:asciiTheme="minorHAnsi" w:hAnsiTheme="minorHAnsi" w:cstheme="majorBidi"/>
          <w:b/>
          <w:bCs/>
        </w:rPr>
        <w:t xml:space="preserve">2. </w:t>
      </w:r>
      <w:r w:rsidR="009733F7" w:rsidRPr="008932A7">
        <w:rPr>
          <w:rFonts w:asciiTheme="minorHAnsi" w:hAnsiTheme="minorHAnsi" w:cstheme="majorBidi"/>
          <w:b/>
          <w:bCs/>
        </w:rPr>
        <w:t>Analysis of the changes in the overall portfolio</w:t>
      </w:r>
    </w:p>
    <w:p w14:paraId="0BB641F9" w14:textId="74429867" w:rsidR="00D223DE" w:rsidRPr="008932A7" w:rsidRDefault="00D223DE" w:rsidP="00BD7F6B">
      <w:pPr>
        <w:bidi w:val="0"/>
        <w:spacing w:line="300" w:lineRule="exact"/>
        <w:jc w:val="both"/>
        <w:rPr>
          <w:rFonts w:asciiTheme="minorHAnsi" w:hAnsiTheme="minorHAnsi" w:cstheme="majorBidi"/>
        </w:rPr>
      </w:pPr>
    </w:p>
    <w:p w14:paraId="4E22878F" w14:textId="2D0F2076" w:rsidR="00455E2B" w:rsidRPr="008932A7" w:rsidRDefault="00557500" w:rsidP="00487E6B">
      <w:pPr>
        <w:bidi w:val="0"/>
        <w:spacing w:line="300" w:lineRule="exact"/>
        <w:jc w:val="both"/>
        <w:rPr>
          <w:rFonts w:asciiTheme="minorHAnsi" w:hAnsiTheme="minorHAnsi" w:cstheme="majorBidi"/>
        </w:rPr>
      </w:pPr>
      <w:r w:rsidRPr="008932A7">
        <w:rPr>
          <w:rFonts w:asciiTheme="minorHAnsi" w:hAnsiTheme="minorHAnsi" w:cstheme="majorBidi"/>
        </w:rPr>
        <w:t xml:space="preserve">Over the course of the </w:t>
      </w:r>
      <w:r w:rsidR="00085E6A" w:rsidRPr="008932A7">
        <w:rPr>
          <w:rFonts w:asciiTheme="minorHAnsi" w:hAnsiTheme="minorHAnsi" w:cstheme="majorBidi"/>
        </w:rPr>
        <w:t>second</w:t>
      </w:r>
      <w:r w:rsidR="006B32D0" w:rsidRPr="008932A7">
        <w:rPr>
          <w:rFonts w:asciiTheme="minorHAnsi" w:hAnsiTheme="minorHAnsi" w:cstheme="majorBidi"/>
        </w:rPr>
        <w:t xml:space="preserve"> quarter</w:t>
      </w:r>
      <w:r w:rsidRPr="008932A7">
        <w:rPr>
          <w:rFonts w:asciiTheme="minorHAnsi" w:hAnsiTheme="minorHAnsi" w:cstheme="majorBidi"/>
        </w:rPr>
        <w:t xml:space="preserve">, </w:t>
      </w:r>
      <w:r w:rsidR="00EA12FD" w:rsidRPr="008932A7">
        <w:rPr>
          <w:rFonts w:asciiTheme="minorHAnsi" w:hAnsiTheme="minorHAnsi" w:cstheme="majorBidi"/>
        </w:rPr>
        <w:t>the</w:t>
      </w:r>
      <w:r w:rsidR="00E2788C" w:rsidRPr="008932A7">
        <w:rPr>
          <w:rFonts w:asciiTheme="minorHAnsi" w:hAnsiTheme="minorHAnsi" w:cstheme="majorBidi"/>
        </w:rPr>
        <w:t xml:space="preserve">re were increases in the balances of the public’s holdings in </w:t>
      </w:r>
      <w:r w:rsidR="00085E6A" w:rsidRPr="008932A7">
        <w:rPr>
          <w:rFonts w:asciiTheme="minorHAnsi" w:hAnsiTheme="minorHAnsi" w:cstheme="majorBidi"/>
        </w:rPr>
        <w:t>most</w:t>
      </w:r>
      <w:r w:rsidR="00E2788C" w:rsidRPr="008932A7">
        <w:rPr>
          <w:rFonts w:asciiTheme="minorHAnsi" w:hAnsiTheme="minorHAnsi" w:cstheme="majorBidi"/>
        </w:rPr>
        <w:t xml:space="preserve"> components</w:t>
      </w:r>
      <w:r w:rsidR="00D223DE" w:rsidRPr="008932A7">
        <w:rPr>
          <w:rFonts w:asciiTheme="minorHAnsi" w:hAnsiTheme="minorHAnsi" w:cstheme="majorBidi"/>
        </w:rPr>
        <w:t xml:space="preserve"> of the portfolio</w:t>
      </w:r>
      <w:r w:rsidR="00085E6A" w:rsidRPr="008932A7">
        <w:rPr>
          <w:rFonts w:asciiTheme="minorHAnsi" w:hAnsiTheme="minorHAnsi" w:cstheme="majorBidi"/>
        </w:rPr>
        <w:t>, with the exception of equities in Israel (-8.5 percent) and corporate bonds (-2.1 percent)</w:t>
      </w:r>
      <w:r w:rsidR="00E2788C" w:rsidRPr="008932A7">
        <w:rPr>
          <w:rFonts w:asciiTheme="minorHAnsi" w:hAnsiTheme="minorHAnsi" w:cstheme="majorBidi"/>
        </w:rPr>
        <w:t>.</w:t>
      </w:r>
      <w:r w:rsidR="00D223DE" w:rsidRPr="008932A7">
        <w:rPr>
          <w:rFonts w:asciiTheme="minorHAnsi" w:hAnsiTheme="minorHAnsi" w:cstheme="majorBidi"/>
        </w:rPr>
        <w:t xml:space="preserve"> The</w:t>
      </w:r>
      <w:r w:rsidR="00E2788C" w:rsidRPr="008932A7">
        <w:rPr>
          <w:rFonts w:asciiTheme="minorHAnsi" w:hAnsiTheme="minorHAnsi" w:cstheme="majorBidi"/>
        </w:rPr>
        <w:t xml:space="preserve"> increases </w:t>
      </w:r>
      <w:r w:rsidR="00D223DE" w:rsidRPr="008932A7">
        <w:rPr>
          <w:rFonts w:asciiTheme="minorHAnsi" w:hAnsiTheme="minorHAnsi" w:cstheme="majorBidi"/>
        </w:rPr>
        <w:t xml:space="preserve">in the </w:t>
      </w:r>
      <w:r w:rsidR="00E2788C" w:rsidRPr="008932A7">
        <w:rPr>
          <w:rFonts w:asciiTheme="minorHAnsi" w:hAnsiTheme="minorHAnsi" w:cstheme="majorBidi"/>
        </w:rPr>
        <w:t>balance of</w:t>
      </w:r>
      <w:r w:rsidR="00CC6D21" w:rsidRPr="008932A7">
        <w:rPr>
          <w:rFonts w:asciiTheme="minorHAnsi" w:hAnsiTheme="minorHAnsi" w:cstheme="majorBidi"/>
        </w:rPr>
        <w:t xml:space="preserve"> </w:t>
      </w:r>
      <w:r w:rsidR="00C02810" w:rsidRPr="008932A7">
        <w:rPr>
          <w:rFonts w:asciiTheme="minorHAnsi" w:hAnsiTheme="minorHAnsi" w:cstheme="majorBidi"/>
        </w:rPr>
        <w:t>investments abroad (</w:t>
      </w:r>
      <w:r w:rsidR="00487E6B" w:rsidRPr="008932A7">
        <w:rPr>
          <w:rFonts w:asciiTheme="minorHAnsi" w:hAnsiTheme="minorHAnsi" w:cstheme="majorBidi"/>
        </w:rPr>
        <w:t>6.1</w:t>
      </w:r>
      <w:r w:rsidR="00CC0574" w:rsidRPr="008932A7">
        <w:rPr>
          <w:rFonts w:asciiTheme="minorHAnsi" w:hAnsiTheme="minorHAnsi" w:cstheme="majorBidi"/>
        </w:rPr>
        <w:t xml:space="preserve"> percent), </w:t>
      </w:r>
      <w:r w:rsidR="00C02810" w:rsidRPr="008932A7">
        <w:rPr>
          <w:rFonts w:asciiTheme="minorHAnsi" w:hAnsiTheme="minorHAnsi" w:cstheme="majorBidi"/>
        </w:rPr>
        <w:t xml:space="preserve">and </w:t>
      </w:r>
      <w:r w:rsidR="006F7BDD" w:rsidRPr="008932A7">
        <w:rPr>
          <w:rFonts w:asciiTheme="minorHAnsi" w:hAnsiTheme="minorHAnsi" w:cstheme="majorBidi"/>
        </w:rPr>
        <w:t xml:space="preserve">in </w:t>
      </w:r>
      <w:r w:rsidR="00C02810" w:rsidRPr="008932A7">
        <w:rPr>
          <w:rFonts w:asciiTheme="minorHAnsi" w:hAnsiTheme="minorHAnsi" w:cstheme="majorBidi"/>
        </w:rPr>
        <w:t xml:space="preserve">the balance of </w:t>
      </w:r>
      <w:r w:rsidR="00085E6A" w:rsidRPr="008932A7">
        <w:rPr>
          <w:rFonts w:asciiTheme="minorHAnsi" w:hAnsiTheme="minorHAnsi" w:cstheme="majorBidi"/>
        </w:rPr>
        <w:t xml:space="preserve">government bonds and </w:t>
      </w:r>
      <w:r w:rsidR="00085E6A" w:rsidRPr="008932A7">
        <w:rPr>
          <w:rFonts w:asciiTheme="minorHAnsi" w:hAnsiTheme="minorHAnsi" w:cstheme="majorBidi"/>
          <w:i/>
          <w:iCs/>
        </w:rPr>
        <w:t xml:space="preserve">Makam </w:t>
      </w:r>
      <w:r w:rsidR="00C02810" w:rsidRPr="008932A7">
        <w:rPr>
          <w:rFonts w:asciiTheme="minorHAnsi" w:hAnsiTheme="minorHAnsi" w:cstheme="majorBidi"/>
        </w:rPr>
        <w:t>(</w:t>
      </w:r>
      <w:r w:rsidR="00085E6A" w:rsidRPr="008932A7">
        <w:rPr>
          <w:rFonts w:asciiTheme="minorHAnsi" w:hAnsiTheme="minorHAnsi" w:cstheme="majorBidi"/>
        </w:rPr>
        <w:t>3.5</w:t>
      </w:r>
      <w:r w:rsidR="00C02810" w:rsidRPr="008932A7">
        <w:rPr>
          <w:rFonts w:asciiTheme="minorHAnsi" w:hAnsiTheme="minorHAnsi" w:cstheme="majorBidi"/>
        </w:rPr>
        <w:t xml:space="preserve"> percen</w:t>
      </w:r>
      <w:r w:rsidR="006F7BDD" w:rsidRPr="008932A7">
        <w:rPr>
          <w:rFonts w:asciiTheme="minorHAnsi" w:hAnsiTheme="minorHAnsi" w:cstheme="majorBidi"/>
        </w:rPr>
        <w:t xml:space="preserve">t) </w:t>
      </w:r>
      <w:r w:rsidR="00E2788C" w:rsidRPr="008932A7">
        <w:rPr>
          <w:rFonts w:asciiTheme="minorHAnsi" w:hAnsiTheme="minorHAnsi" w:cstheme="majorBidi"/>
        </w:rPr>
        <w:t>were notable</w:t>
      </w:r>
      <w:r w:rsidR="00D223DE" w:rsidRPr="008932A7">
        <w:rPr>
          <w:rFonts w:asciiTheme="minorHAnsi" w:hAnsiTheme="minorHAnsi" w:cstheme="majorBidi"/>
        </w:rPr>
        <w:t>.</w:t>
      </w:r>
      <w:r w:rsidR="00B228AF" w:rsidRPr="008932A7">
        <w:rPr>
          <w:rFonts w:asciiTheme="minorHAnsi" w:hAnsiTheme="minorHAnsi" w:cstheme="majorBidi"/>
        </w:rPr>
        <w:t xml:space="preserve"> </w:t>
      </w:r>
    </w:p>
    <w:p w14:paraId="31F12E90" w14:textId="77777777" w:rsidR="00E47DE2" w:rsidRPr="008932A7" w:rsidRDefault="00E47DE2" w:rsidP="00E47DE2">
      <w:pPr>
        <w:bidi w:val="0"/>
        <w:spacing w:line="300" w:lineRule="exact"/>
        <w:jc w:val="both"/>
        <w:rPr>
          <w:rFonts w:asciiTheme="minorHAnsi" w:hAnsiTheme="minorHAnsi" w:cstheme="majorBidi"/>
          <w:b/>
          <w:bCs/>
        </w:rPr>
      </w:pPr>
    </w:p>
    <w:p w14:paraId="64BFCF73" w14:textId="3DCCF4FC" w:rsidR="00E47DE2" w:rsidRPr="008932A7" w:rsidRDefault="00E47DE2" w:rsidP="00E47DE2">
      <w:pPr>
        <w:bidi w:val="0"/>
        <w:spacing w:line="300" w:lineRule="exact"/>
        <w:jc w:val="both"/>
        <w:rPr>
          <w:rFonts w:asciiTheme="minorHAnsi" w:hAnsiTheme="minorHAnsi" w:cstheme="majorBidi"/>
        </w:rPr>
      </w:pPr>
      <w:r w:rsidRPr="008932A7">
        <w:rPr>
          <w:rFonts w:asciiTheme="minorHAnsi" w:hAnsiTheme="minorHAnsi" w:cstheme="majorBidi"/>
          <w:b/>
          <w:bCs/>
          <w:noProof/>
        </w:rPr>
        <w:drawing>
          <wp:anchor distT="0" distB="0" distL="114300" distR="114300" simplePos="0" relativeHeight="251675648" behindDoc="0" locked="0" layoutInCell="1" allowOverlap="1" wp14:anchorId="572973AA" wp14:editId="0EDA2753">
            <wp:simplePos x="0" y="0"/>
            <wp:positionH relativeFrom="margin">
              <wp:align>center</wp:align>
            </wp:positionH>
            <wp:positionV relativeFrom="paragraph">
              <wp:posOffset>5080</wp:posOffset>
            </wp:positionV>
            <wp:extent cx="5334635" cy="2498090"/>
            <wp:effectExtent l="0" t="0" r="0" b="0"/>
            <wp:wrapSquare wrapText="bothSides"/>
            <wp:docPr id="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34635" cy="2498090"/>
                    </a:xfrm>
                    <a:prstGeom prst="rect">
                      <a:avLst/>
                    </a:prstGeom>
                    <a:noFill/>
                  </pic:spPr>
                </pic:pic>
              </a:graphicData>
            </a:graphic>
          </wp:anchor>
        </w:drawing>
      </w:r>
    </w:p>
    <w:p w14:paraId="75550AFC" w14:textId="77777777" w:rsidR="00E47DE2" w:rsidRPr="008932A7" w:rsidRDefault="00E47DE2" w:rsidP="00E47DE2">
      <w:pPr>
        <w:bidi w:val="0"/>
        <w:rPr>
          <w:rFonts w:asciiTheme="minorHAnsi" w:hAnsiTheme="minorHAnsi" w:cstheme="majorBidi"/>
        </w:rPr>
      </w:pPr>
    </w:p>
    <w:p w14:paraId="62155B1E" w14:textId="77777777" w:rsidR="00E47DE2" w:rsidRPr="008932A7" w:rsidRDefault="00E47DE2" w:rsidP="00E47DE2">
      <w:pPr>
        <w:bidi w:val="0"/>
        <w:rPr>
          <w:rFonts w:asciiTheme="minorHAnsi" w:hAnsiTheme="minorHAnsi" w:cstheme="majorBidi"/>
        </w:rPr>
      </w:pPr>
    </w:p>
    <w:p w14:paraId="3325850B" w14:textId="77777777" w:rsidR="00E47DE2" w:rsidRPr="008932A7" w:rsidRDefault="00E47DE2" w:rsidP="00E47DE2">
      <w:pPr>
        <w:bidi w:val="0"/>
        <w:rPr>
          <w:rFonts w:asciiTheme="minorHAnsi" w:hAnsiTheme="minorHAnsi" w:cstheme="majorBidi"/>
        </w:rPr>
      </w:pPr>
    </w:p>
    <w:p w14:paraId="2C255C99" w14:textId="77777777" w:rsidR="00E47DE2" w:rsidRPr="008932A7" w:rsidRDefault="00E47DE2" w:rsidP="00E47DE2">
      <w:pPr>
        <w:bidi w:val="0"/>
        <w:rPr>
          <w:rFonts w:asciiTheme="minorHAnsi" w:hAnsiTheme="minorHAnsi" w:cstheme="majorBidi"/>
        </w:rPr>
      </w:pPr>
    </w:p>
    <w:p w14:paraId="26B14163" w14:textId="77777777" w:rsidR="00E47DE2" w:rsidRPr="008932A7" w:rsidRDefault="00E47DE2" w:rsidP="00E47DE2">
      <w:pPr>
        <w:bidi w:val="0"/>
        <w:rPr>
          <w:rFonts w:asciiTheme="minorHAnsi" w:hAnsiTheme="minorHAnsi" w:cstheme="majorBidi"/>
        </w:rPr>
      </w:pPr>
    </w:p>
    <w:p w14:paraId="487AE4C4" w14:textId="77777777" w:rsidR="00E47DE2" w:rsidRPr="008932A7" w:rsidRDefault="00E47DE2" w:rsidP="00E47DE2">
      <w:pPr>
        <w:bidi w:val="0"/>
        <w:rPr>
          <w:rFonts w:asciiTheme="minorHAnsi" w:hAnsiTheme="minorHAnsi" w:cstheme="majorBidi"/>
        </w:rPr>
      </w:pPr>
    </w:p>
    <w:p w14:paraId="7B0E434A" w14:textId="77777777" w:rsidR="00E47DE2" w:rsidRPr="008932A7" w:rsidRDefault="00E47DE2" w:rsidP="00E47DE2">
      <w:pPr>
        <w:bidi w:val="0"/>
        <w:rPr>
          <w:rFonts w:asciiTheme="minorHAnsi" w:hAnsiTheme="minorHAnsi" w:cstheme="majorBidi"/>
        </w:rPr>
      </w:pPr>
    </w:p>
    <w:p w14:paraId="25C4F7B2" w14:textId="77777777" w:rsidR="00E47DE2" w:rsidRPr="008932A7" w:rsidRDefault="00E47DE2" w:rsidP="00E47DE2">
      <w:pPr>
        <w:bidi w:val="0"/>
        <w:rPr>
          <w:rFonts w:asciiTheme="minorHAnsi" w:hAnsiTheme="minorHAnsi" w:cstheme="majorBidi"/>
        </w:rPr>
      </w:pPr>
    </w:p>
    <w:p w14:paraId="2BD4C36C" w14:textId="77777777" w:rsidR="00E47DE2" w:rsidRPr="008932A7" w:rsidRDefault="00E47DE2" w:rsidP="00E47DE2">
      <w:pPr>
        <w:bidi w:val="0"/>
        <w:rPr>
          <w:rFonts w:asciiTheme="minorHAnsi" w:hAnsiTheme="minorHAnsi" w:cstheme="majorBidi"/>
        </w:rPr>
      </w:pPr>
    </w:p>
    <w:p w14:paraId="3F4686F4" w14:textId="77777777" w:rsidR="00E47DE2" w:rsidRPr="008932A7" w:rsidRDefault="00E47DE2" w:rsidP="00E47DE2">
      <w:pPr>
        <w:bidi w:val="0"/>
        <w:rPr>
          <w:rFonts w:asciiTheme="minorHAnsi" w:hAnsiTheme="minorHAnsi" w:cstheme="majorBidi"/>
        </w:rPr>
      </w:pPr>
    </w:p>
    <w:p w14:paraId="0AFF39A7" w14:textId="77777777" w:rsidR="00E47DE2" w:rsidRPr="008932A7" w:rsidRDefault="00E47DE2" w:rsidP="00E47DE2">
      <w:pPr>
        <w:bidi w:val="0"/>
        <w:rPr>
          <w:rFonts w:asciiTheme="minorHAnsi" w:hAnsiTheme="minorHAnsi" w:cstheme="majorBidi"/>
        </w:rPr>
      </w:pPr>
    </w:p>
    <w:p w14:paraId="7ADF3612" w14:textId="51F1AEA5" w:rsidR="00E47DE2" w:rsidRPr="008932A7" w:rsidRDefault="00E47DE2" w:rsidP="00E47DE2">
      <w:pPr>
        <w:bidi w:val="0"/>
        <w:rPr>
          <w:rFonts w:asciiTheme="minorHAnsi" w:hAnsiTheme="minorHAnsi" w:cstheme="majorBidi"/>
        </w:rPr>
      </w:pPr>
    </w:p>
    <w:p w14:paraId="3FC5C369" w14:textId="77777777" w:rsidR="00E47DE2" w:rsidRPr="008932A7" w:rsidRDefault="00E47DE2" w:rsidP="00E47DE2">
      <w:pPr>
        <w:bidi w:val="0"/>
        <w:rPr>
          <w:rFonts w:asciiTheme="minorHAnsi" w:hAnsiTheme="minorHAnsi" w:cstheme="majorBidi"/>
        </w:rPr>
      </w:pPr>
    </w:p>
    <w:p w14:paraId="05B8D6E3" w14:textId="77777777" w:rsidR="00E47DE2" w:rsidRPr="008932A7" w:rsidRDefault="00E47DE2" w:rsidP="00E47DE2">
      <w:pPr>
        <w:pStyle w:val="ab"/>
        <w:bidi w:val="0"/>
        <w:spacing w:line="300" w:lineRule="exact"/>
        <w:ind w:left="426"/>
        <w:jc w:val="both"/>
        <w:rPr>
          <w:rFonts w:asciiTheme="minorHAnsi" w:hAnsiTheme="minorHAnsi" w:cstheme="majorBidi"/>
          <w:b/>
          <w:bCs/>
        </w:rPr>
      </w:pPr>
    </w:p>
    <w:p w14:paraId="7436894C" w14:textId="3302991E" w:rsidR="00085E6A" w:rsidRPr="008932A7" w:rsidRDefault="00085E6A" w:rsidP="00E47DE2">
      <w:pPr>
        <w:pStyle w:val="ab"/>
        <w:numPr>
          <w:ilvl w:val="0"/>
          <w:numId w:val="23"/>
        </w:numPr>
        <w:bidi w:val="0"/>
        <w:spacing w:line="300" w:lineRule="exact"/>
        <w:ind w:left="426"/>
        <w:jc w:val="both"/>
        <w:rPr>
          <w:rFonts w:asciiTheme="minorHAnsi" w:hAnsiTheme="minorHAnsi" w:cstheme="majorBidi"/>
          <w:b/>
          <w:bCs/>
        </w:rPr>
      </w:pPr>
      <w:r w:rsidRPr="008932A7">
        <w:rPr>
          <w:rFonts w:asciiTheme="minorHAnsi" w:hAnsiTheme="minorHAnsi" w:cstheme="majorBidi"/>
        </w:rPr>
        <w:t xml:space="preserve">The balance of </w:t>
      </w:r>
      <w:r w:rsidRPr="008932A7">
        <w:rPr>
          <w:rFonts w:asciiTheme="minorHAnsi" w:hAnsiTheme="minorHAnsi" w:cstheme="majorBidi"/>
          <w:b/>
          <w:bCs/>
        </w:rPr>
        <w:t>equities in Israel</w:t>
      </w:r>
      <w:r w:rsidRPr="008932A7">
        <w:rPr>
          <w:rFonts w:asciiTheme="minorHAnsi" w:hAnsiTheme="minorHAnsi" w:cstheme="majorBidi"/>
        </w:rPr>
        <w:t xml:space="preserve"> declined by about NIS 62.2 billion (8.5 percent), mainly in view of price declines on the equity indices, which were partly offset by net investments (estimated at about NIS 1.9 billion).</w:t>
      </w:r>
    </w:p>
    <w:p w14:paraId="76E73BF7" w14:textId="40543063" w:rsidR="00085E6A" w:rsidRPr="008932A7" w:rsidRDefault="00085E6A" w:rsidP="00085E6A">
      <w:pPr>
        <w:pStyle w:val="ab"/>
        <w:numPr>
          <w:ilvl w:val="0"/>
          <w:numId w:val="23"/>
        </w:numPr>
        <w:bidi w:val="0"/>
        <w:spacing w:line="300" w:lineRule="exact"/>
        <w:ind w:left="426"/>
        <w:jc w:val="both"/>
        <w:rPr>
          <w:rFonts w:asciiTheme="minorHAnsi" w:hAnsiTheme="minorHAnsi" w:cstheme="majorBidi"/>
          <w:b/>
          <w:bCs/>
        </w:rPr>
      </w:pPr>
      <w:r w:rsidRPr="008932A7">
        <w:rPr>
          <w:rFonts w:asciiTheme="minorHAnsi" w:hAnsiTheme="minorHAnsi" w:cstheme="majorBidi"/>
        </w:rPr>
        <w:t xml:space="preserve">The balance of </w:t>
      </w:r>
      <w:r w:rsidRPr="008932A7">
        <w:rPr>
          <w:rFonts w:asciiTheme="minorHAnsi" w:hAnsiTheme="minorHAnsi" w:cstheme="majorBidi"/>
          <w:b/>
          <w:bCs/>
        </w:rPr>
        <w:t>tradable corporate bonds in Israel</w:t>
      </w:r>
      <w:r w:rsidRPr="008932A7">
        <w:rPr>
          <w:rFonts w:asciiTheme="minorHAnsi" w:hAnsiTheme="minorHAnsi" w:cstheme="majorBidi"/>
        </w:rPr>
        <w:t xml:space="preserve"> declined by about NIS 8.5 billion, to about NIS 397 billion at the end of the quarter, due to price declines and net realizations.</w:t>
      </w:r>
    </w:p>
    <w:p w14:paraId="1A16F525" w14:textId="572317FA" w:rsidR="00085E6A" w:rsidRPr="008932A7" w:rsidRDefault="00085E6A" w:rsidP="00085E6A">
      <w:pPr>
        <w:pStyle w:val="ab"/>
        <w:numPr>
          <w:ilvl w:val="0"/>
          <w:numId w:val="23"/>
        </w:numPr>
        <w:bidi w:val="0"/>
        <w:spacing w:line="300" w:lineRule="exact"/>
        <w:ind w:left="426"/>
        <w:jc w:val="both"/>
        <w:rPr>
          <w:rFonts w:asciiTheme="minorHAnsi" w:hAnsiTheme="minorHAnsi" w:cstheme="majorBidi"/>
          <w:b/>
          <w:bCs/>
        </w:rPr>
      </w:pPr>
      <w:r w:rsidRPr="008932A7">
        <w:rPr>
          <w:rFonts w:asciiTheme="minorHAnsi" w:hAnsiTheme="minorHAnsi" w:cstheme="majorBidi"/>
        </w:rPr>
        <w:t xml:space="preserve">The balance of </w:t>
      </w:r>
      <w:r w:rsidRPr="008932A7">
        <w:rPr>
          <w:rFonts w:asciiTheme="minorHAnsi" w:hAnsiTheme="minorHAnsi" w:cstheme="majorBidi"/>
          <w:b/>
          <w:bCs/>
        </w:rPr>
        <w:t>government bonds</w:t>
      </w:r>
      <w:r w:rsidRPr="008932A7">
        <w:rPr>
          <w:rFonts w:asciiTheme="minorHAnsi" w:hAnsiTheme="minorHAnsi" w:cstheme="majorBidi"/>
        </w:rPr>
        <w:t xml:space="preserve"> (tradable and nontradable) and </w:t>
      </w:r>
      <w:r w:rsidRPr="008932A7">
        <w:rPr>
          <w:rFonts w:asciiTheme="minorHAnsi" w:hAnsiTheme="minorHAnsi" w:cstheme="majorBidi"/>
          <w:b/>
          <w:bCs/>
          <w:i/>
          <w:iCs/>
        </w:rPr>
        <w:t>Makam</w:t>
      </w:r>
      <w:r w:rsidRPr="008932A7">
        <w:rPr>
          <w:rFonts w:asciiTheme="minorHAnsi" w:hAnsiTheme="minorHAnsi" w:cstheme="majorBidi"/>
        </w:rPr>
        <w:t xml:space="preserve"> increased during the quarter by about NIS 35.4 billion (3.5 percent) to about NIS 1.06 trillion at the end of the quarter. The increase was mainly due to the increase in tradable government bonds (about NIS 22 billion), and an increase in </w:t>
      </w:r>
      <w:r w:rsidRPr="008932A7">
        <w:rPr>
          <w:rFonts w:asciiTheme="minorHAnsi" w:hAnsiTheme="minorHAnsi" w:cstheme="majorBidi"/>
          <w:i/>
          <w:iCs/>
        </w:rPr>
        <w:t>Makam</w:t>
      </w:r>
      <w:r w:rsidRPr="008932A7">
        <w:rPr>
          <w:rFonts w:asciiTheme="minorHAnsi" w:hAnsiTheme="minorHAnsi" w:cstheme="majorBidi"/>
        </w:rPr>
        <w:t xml:space="preserve"> (about NIS 15 billion).</w:t>
      </w:r>
    </w:p>
    <w:p w14:paraId="17558650" w14:textId="51B1FF6C" w:rsidR="0083151F" w:rsidRPr="008932A7" w:rsidRDefault="00F44799" w:rsidP="000459EB">
      <w:pPr>
        <w:pStyle w:val="ab"/>
        <w:numPr>
          <w:ilvl w:val="0"/>
          <w:numId w:val="23"/>
        </w:numPr>
        <w:bidi w:val="0"/>
        <w:spacing w:line="300" w:lineRule="exact"/>
        <w:ind w:left="426"/>
        <w:jc w:val="both"/>
        <w:rPr>
          <w:rFonts w:asciiTheme="minorHAnsi" w:hAnsiTheme="minorHAnsi" w:cstheme="majorBidi"/>
          <w:b/>
          <w:bCs/>
        </w:rPr>
      </w:pPr>
      <w:r w:rsidRPr="008932A7">
        <w:rPr>
          <w:rFonts w:asciiTheme="minorHAnsi" w:hAnsiTheme="minorHAnsi" w:cstheme="majorBidi"/>
        </w:rPr>
        <w:lastRenderedPageBreak/>
        <w:t xml:space="preserve">The balance of </w:t>
      </w:r>
      <w:r w:rsidRPr="008932A7">
        <w:rPr>
          <w:rFonts w:asciiTheme="minorHAnsi" w:hAnsiTheme="minorHAnsi" w:cstheme="majorBidi"/>
          <w:b/>
          <w:bCs/>
        </w:rPr>
        <w:t>cash and deposits</w:t>
      </w:r>
      <w:r w:rsidRPr="008932A7">
        <w:rPr>
          <w:rFonts w:asciiTheme="minorHAnsi" w:hAnsiTheme="minorHAnsi" w:cstheme="majorBidi"/>
        </w:rPr>
        <w:t xml:space="preserve"> increased during the </w:t>
      </w:r>
      <w:r w:rsidR="00085E6A" w:rsidRPr="008932A7">
        <w:rPr>
          <w:rFonts w:asciiTheme="minorHAnsi" w:hAnsiTheme="minorHAnsi" w:cstheme="majorBidi"/>
        </w:rPr>
        <w:t>second</w:t>
      </w:r>
      <w:r w:rsidRPr="008932A7">
        <w:rPr>
          <w:rFonts w:asciiTheme="minorHAnsi" w:hAnsiTheme="minorHAnsi" w:cstheme="majorBidi"/>
        </w:rPr>
        <w:t xml:space="preserve"> quarter by about NIS </w:t>
      </w:r>
      <w:r w:rsidR="00085E6A" w:rsidRPr="008932A7">
        <w:rPr>
          <w:rFonts w:asciiTheme="minorHAnsi" w:hAnsiTheme="minorHAnsi" w:cstheme="majorBidi"/>
        </w:rPr>
        <w:t>16.3</w:t>
      </w:r>
      <w:r w:rsidRPr="008932A7">
        <w:rPr>
          <w:rFonts w:asciiTheme="minorHAnsi" w:hAnsiTheme="minorHAnsi" w:cstheme="majorBidi"/>
        </w:rPr>
        <w:t xml:space="preserve"> billion (</w:t>
      </w:r>
      <w:r w:rsidR="00085E6A" w:rsidRPr="008932A7">
        <w:rPr>
          <w:rFonts w:asciiTheme="minorHAnsi" w:hAnsiTheme="minorHAnsi" w:cstheme="majorBidi"/>
        </w:rPr>
        <w:t>0.8</w:t>
      </w:r>
      <w:r w:rsidRPr="008932A7">
        <w:rPr>
          <w:rFonts w:asciiTheme="minorHAnsi" w:hAnsiTheme="minorHAnsi" w:cstheme="majorBidi"/>
        </w:rPr>
        <w:t xml:space="preserve"> percent) to about NIS 2.</w:t>
      </w:r>
      <w:r w:rsidR="00085E6A" w:rsidRPr="008932A7">
        <w:rPr>
          <w:rFonts w:asciiTheme="minorHAnsi" w:hAnsiTheme="minorHAnsi" w:cstheme="majorBidi"/>
        </w:rPr>
        <w:t>1</w:t>
      </w:r>
      <w:r w:rsidRPr="008932A7">
        <w:rPr>
          <w:rFonts w:asciiTheme="minorHAnsi" w:hAnsiTheme="minorHAnsi" w:cstheme="majorBidi"/>
        </w:rPr>
        <w:t xml:space="preserve"> trillion, which is about 3</w:t>
      </w:r>
      <w:r w:rsidR="00085E6A" w:rsidRPr="008932A7">
        <w:rPr>
          <w:rFonts w:asciiTheme="minorHAnsi" w:hAnsiTheme="minorHAnsi" w:cstheme="majorBidi"/>
        </w:rPr>
        <w:t>6</w:t>
      </w:r>
      <w:r w:rsidRPr="008932A7">
        <w:rPr>
          <w:rFonts w:asciiTheme="minorHAnsi" w:hAnsiTheme="minorHAnsi" w:cstheme="majorBidi"/>
        </w:rPr>
        <w:t xml:space="preserve"> percent of the total portfolio.</w:t>
      </w:r>
    </w:p>
    <w:p w14:paraId="36A892F7" w14:textId="6FD4D05F" w:rsidR="00A2266D" w:rsidRPr="008932A7" w:rsidRDefault="00E47DE2" w:rsidP="00A2266D">
      <w:pPr>
        <w:bidi w:val="0"/>
        <w:spacing w:line="300" w:lineRule="exact"/>
        <w:jc w:val="both"/>
        <w:rPr>
          <w:rFonts w:asciiTheme="minorHAnsi" w:hAnsiTheme="minorHAnsi" w:cstheme="majorBidi"/>
          <w:b/>
          <w:bCs/>
        </w:rPr>
      </w:pPr>
      <w:r w:rsidRPr="008932A7">
        <w:rPr>
          <w:rFonts w:asciiTheme="minorHAnsi" w:hAnsiTheme="minorHAnsi" w:cstheme="majorBidi"/>
          <w:b/>
          <w:bCs/>
          <w:noProof/>
        </w:rPr>
        <w:drawing>
          <wp:anchor distT="0" distB="0" distL="114300" distR="114300" simplePos="0" relativeHeight="251676672" behindDoc="0" locked="0" layoutInCell="1" allowOverlap="1" wp14:anchorId="14442813" wp14:editId="6795C1D7">
            <wp:simplePos x="0" y="0"/>
            <wp:positionH relativeFrom="margin">
              <wp:align>center</wp:align>
            </wp:positionH>
            <wp:positionV relativeFrom="paragraph">
              <wp:posOffset>0</wp:posOffset>
            </wp:positionV>
            <wp:extent cx="5198400" cy="2737232"/>
            <wp:effectExtent l="0" t="0" r="2540" b="6350"/>
            <wp:wrapSquare wrapText="bothSides"/>
            <wp:docPr id="8"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198400" cy="2737232"/>
                    </a:xfrm>
                    <a:prstGeom prst="rect">
                      <a:avLst/>
                    </a:prstGeom>
                    <a:noFill/>
                  </pic:spPr>
                </pic:pic>
              </a:graphicData>
            </a:graphic>
          </wp:anchor>
        </w:drawing>
      </w:r>
    </w:p>
    <w:p w14:paraId="328C8E47" w14:textId="77777777" w:rsidR="00E47DE2" w:rsidRPr="008932A7" w:rsidRDefault="00E47DE2" w:rsidP="00085E6A">
      <w:pPr>
        <w:bidi w:val="0"/>
        <w:spacing w:line="300" w:lineRule="exact"/>
        <w:jc w:val="both"/>
        <w:rPr>
          <w:rFonts w:asciiTheme="minorHAnsi" w:hAnsiTheme="minorHAnsi" w:cstheme="majorBidi"/>
        </w:rPr>
      </w:pPr>
    </w:p>
    <w:p w14:paraId="198DE187" w14:textId="77777777" w:rsidR="00E47DE2" w:rsidRPr="008932A7" w:rsidRDefault="00E47DE2" w:rsidP="00E47DE2">
      <w:pPr>
        <w:bidi w:val="0"/>
        <w:spacing w:line="300" w:lineRule="exact"/>
        <w:jc w:val="both"/>
        <w:rPr>
          <w:rFonts w:asciiTheme="minorHAnsi" w:hAnsiTheme="minorHAnsi" w:cstheme="majorBidi"/>
        </w:rPr>
      </w:pPr>
    </w:p>
    <w:p w14:paraId="497C5065" w14:textId="77777777" w:rsidR="00E47DE2" w:rsidRPr="008932A7" w:rsidRDefault="00E47DE2" w:rsidP="00E47DE2">
      <w:pPr>
        <w:bidi w:val="0"/>
        <w:spacing w:line="300" w:lineRule="exact"/>
        <w:jc w:val="both"/>
        <w:rPr>
          <w:rFonts w:asciiTheme="minorHAnsi" w:hAnsiTheme="minorHAnsi" w:cstheme="majorBidi"/>
        </w:rPr>
      </w:pPr>
    </w:p>
    <w:p w14:paraId="40F70687" w14:textId="77777777" w:rsidR="00E47DE2" w:rsidRPr="008932A7" w:rsidRDefault="00E47DE2" w:rsidP="00E47DE2">
      <w:pPr>
        <w:bidi w:val="0"/>
        <w:spacing w:line="300" w:lineRule="exact"/>
        <w:jc w:val="both"/>
        <w:rPr>
          <w:rFonts w:asciiTheme="minorHAnsi" w:hAnsiTheme="minorHAnsi" w:cstheme="majorBidi"/>
        </w:rPr>
      </w:pPr>
    </w:p>
    <w:p w14:paraId="554CCE3D" w14:textId="77777777" w:rsidR="00E47DE2" w:rsidRPr="008932A7" w:rsidRDefault="00E47DE2" w:rsidP="00E47DE2">
      <w:pPr>
        <w:bidi w:val="0"/>
        <w:spacing w:line="300" w:lineRule="exact"/>
        <w:jc w:val="both"/>
        <w:rPr>
          <w:rFonts w:asciiTheme="minorHAnsi" w:hAnsiTheme="minorHAnsi" w:cstheme="majorBidi"/>
        </w:rPr>
      </w:pPr>
    </w:p>
    <w:p w14:paraId="5860B06E" w14:textId="77777777" w:rsidR="00E47DE2" w:rsidRPr="008932A7" w:rsidRDefault="00E47DE2" w:rsidP="00E47DE2">
      <w:pPr>
        <w:bidi w:val="0"/>
        <w:spacing w:line="300" w:lineRule="exact"/>
        <w:jc w:val="both"/>
        <w:rPr>
          <w:rFonts w:asciiTheme="minorHAnsi" w:hAnsiTheme="minorHAnsi" w:cstheme="majorBidi"/>
        </w:rPr>
      </w:pPr>
    </w:p>
    <w:p w14:paraId="3A8CBEA7" w14:textId="77777777" w:rsidR="00E47DE2" w:rsidRPr="008932A7" w:rsidRDefault="00E47DE2" w:rsidP="00E47DE2">
      <w:pPr>
        <w:bidi w:val="0"/>
        <w:spacing w:line="300" w:lineRule="exact"/>
        <w:jc w:val="both"/>
        <w:rPr>
          <w:rFonts w:asciiTheme="minorHAnsi" w:hAnsiTheme="minorHAnsi" w:cstheme="majorBidi"/>
        </w:rPr>
      </w:pPr>
    </w:p>
    <w:p w14:paraId="2914B398" w14:textId="77777777" w:rsidR="00E47DE2" w:rsidRPr="008932A7" w:rsidRDefault="00E47DE2" w:rsidP="00E47DE2">
      <w:pPr>
        <w:bidi w:val="0"/>
        <w:spacing w:line="300" w:lineRule="exact"/>
        <w:jc w:val="both"/>
        <w:rPr>
          <w:rFonts w:asciiTheme="minorHAnsi" w:hAnsiTheme="minorHAnsi" w:cstheme="majorBidi"/>
        </w:rPr>
      </w:pPr>
    </w:p>
    <w:p w14:paraId="596F64D3" w14:textId="77777777" w:rsidR="00E47DE2" w:rsidRPr="008932A7" w:rsidRDefault="00E47DE2" w:rsidP="00E47DE2">
      <w:pPr>
        <w:bidi w:val="0"/>
        <w:spacing w:line="300" w:lineRule="exact"/>
        <w:jc w:val="both"/>
        <w:rPr>
          <w:rFonts w:asciiTheme="minorHAnsi" w:hAnsiTheme="minorHAnsi" w:cstheme="majorBidi"/>
        </w:rPr>
      </w:pPr>
    </w:p>
    <w:p w14:paraId="220838F7" w14:textId="77777777" w:rsidR="00E47DE2" w:rsidRPr="008932A7" w:rsidRDefault="00E47DE2" w:rsidP="00E47DE2">
      <w:pPr>
        <w:bidi w:val="0"/>
        <w:spacing w:line="300" w:lineRule="exact"/>
        <w:jc w:val="both"/>
        <w:rPr>
          <w:rFonts w:asciiTheme="minorHAnsi" w:hAnsiTheme="minorHAnsi" w:cstheme="majorBidi"/>
        </w:rPr>
      </w:pPr>
    </w:p>
    <w:p w14:paraId="26D6A7BD" w14:textId="77777777" w:rsidR="00E47DE2" w:rsidRPr="008932A7" w:rsidRDefault="00E47DE2" w:rsidP="00E47DE2">
      <w:pPr>
        <w:bidi w:val="0"/>
        <w:spacing w:line="300" w:lineRule="exact"/>
        <w:jc w:val="both"/>
        <w:rPr>
          <w:rFonts w:asciiTheme="minorHAnsi" w:hAnsiTheme="minorHAnsi" w:cstheme="majorBidi"/>
        </w:rPr>
      </w:pPr>
    </w:p>
    <w:p w14:paraId="53723B38" w14:textId="77777777" w:rsidR="00E47DE2" w:rsidRPr="008932A7" w:rsidRDefault="00E47DE2" w:rsidP="00E47DE2">
      <w:pPr>
        <w:bidi w:val="0"/>
        <w:spacing w:line="300" w:lineRule="exact"/>
        <w:jc w:val="both"/>
        <w:rPr>
          <w:rFonts w:asciiTheme="minorHAnsi" w:hAnsiTheme="minorHAnsi" w:cstheme="majorBidi"/>
        </w:rPr>
      </w:pPr>
    </w:p>
    <w:p w14:paraId="7E7EA8D9" w14:textId="77777777" w:rsidR="00E47DE2" w:rsidRPr="008932A7" w:rsidRDefault="00E47DE2" w:rsidP="00E47DE2">
      <w:pPr>
        <w:bidi w:val="0"/>
        <w:spacing w:line="300" w:lineRule="exact"/>
        <w:jc w:val="both"/>
        <w:rPr>
          <w:rFonts w:asciiTheme="minorHAnsi" w:hAnsiTheme="minorHAnsi" w:cstheme="majorBidi"/>
        </w:rPr>
      </w:pPr>
    </w:p>
    <w:p w14:paraId="5139B00C" w14:textId="77777777" w:rsidR="00E47DE2" w:rsidRPr="008932A7" w:rsidRDefault="00E47DE2" w:rsidP="00E47DE2">
      <w:pPr>
        <w:bidi w:val="0"/>
        <w:spacing w:line="300" w:lineRule="exact"/>
        <w:jc w:val="both"/>
        <w:rPr>
          <w:rFonts w:asciiTheme="minorHAnsi" w:hAnsiTheme="minorHAnsi" w:cstheme="majorBidi"/>
        </w:rPr>
      </w:pPr>
    </w:p>
    <w:p w14:paraId="1B9A08BA" w14:textId="6394742C" w:rsidR="004B0B9B" w:rsidRPr="008932A7" w:rsidRDefault="00466D57" w:rsidP="00E47DE2">
      <w:pPr>
        <w:bidi w:val="0"/>
        <w:spacing w:line="300" w:lineRule="exact"/>
        <w:jc w:val="both"/>
        <w:rPr>
          <w:rFonts w:asciiTheme="minorHAnsi" w:hAnsiTheme="minorHAnsi" w:cstheme="majorBidi"/>
          <w:b/>
          <w:bCs/>
        </w:rPr>
      </w:pPr>
      <w:r w:rsidRPr="008932A7">
        <w:rPr>
          <w:rFonts w:asciiTheme="minorHAnsi" w:hAnsiTheme="minorHAnsi" w:cstheme="majorBidi"/>
        </w:rPr>
        <w:t xml:space="preserve">The balance of investments abroad </w:t>
      </w:r>
      <w:r w:rsidR="002B0BD0" w:rsidRPr="008932A7">
        <w:rPr>
          <w:rFonts w:asciiTheme="minorHAnsi" w:hAnsiTheme="minorHAnsi" w:cstheme="majorBidi"/>
        </w:rPr>
        <w:t xml:space="preserve">increased </w:t>
      </w:r>
      <w:r w:rsidR="00517F66" w:rsidRPr="008932A7">
        <w:rPr>
          <w:rFonts w:asciiTheme="minorHAnsi" w:hAnsiTheme="minorHAnsi" w:cstheme="majorBidi"/>
        </w:rPr>
        <w:t xml:space="preserve">by </w:t>
      </w:r>
      <w:r w:rsidR="00E93313" w:rsidRPr="008932A7">
        <w:rPr>
          <w:rFonts w:asciiTheme="minorHAnsi" w:hAnsiTheme="minorHAnsi" w:cstheme="majorBidi"/>
        </w:rPr>
        <w:t xml:space="preserve">approximately </w:t>
      </w:r>
      <w:r w:rsidR="00517F66" w:rsidRPr="008932A7">
        <w:rPr>
          <w:rFonts w:asciiTheme="minorHAnsi" w:hAnsiTheme="minorHAnsi" w:cstheme="majorBidi"/>
        </w:rPr>
        <w:t xml:space="preserve">NIS </w:t>
      </w:r>
      <w:r w:rsidR="00085E6A" w:rsidRPr="008932A7">
        <w:rPr>
          <w:rFonts w:asciiTheme="minorHAnsi" w:hAnsiTheme="minorHAnsi" w:cstheme="majorBidi"/>
        </w:rPr>
        <w:t>67</w:t>
      </w:r>
      <w:r w:rsidR="00560E9A" w:rsidRPr="008932A7">
        <w:rPr>
          <w:rFonts w:asciiTheme="minorHAnsi" w:hAnsiTheme="minorHAnsi" w:cstheme="majorBidi"/>
        </w:rPr>
        <w:t>.</w:t>
      </w:r>
      <w:r w:rsidR="00085E6A" w:rsidRPr="008932A7">
        <w:rPr>
          <w:rFonts w:asciiTheme="minorHAnsi" w:hAnsiTheme="minorHAnsi" w:cstheme="majorBidi"/>
        </w:rPr>
        <w:t>6</w:t>
      </w:r>
      <w:r w:rsidR="002B0BD0" w:rsidRPr="008932A7">
        <w:rPr>
          <w:rFonts w:asciiTheme="minorHAnsi" w:hAnsiTheme="minorHAnsi" w:cstheme="majorBidi"/>
        </w:rPr>
        <w:t xml:space="preserve"> </w:t>
      </w:r>
      <w:r w:rsidR="00517F66" w:rsidRPr="008932A7">
        <w:rPr>
          <w:rFonts w:asciiTheme="minorHAnsi" w:hAnsiTheme="minorHAnsi" w:cstheme="majorBidi"/>
        </w:rPr>
        <w:t>billion (</w:t>
      </w:r>
      <w:r w:rsidR="00085E6A" w:rsidRPr="008932A7">
        <w:rPr>
          <w:rFonts w:asciiTheme="minorHAnsi" w:hAnsiTheme="minorHAnsi" w:cstheme="majorBidi"/>
        </w:rPr>
        <w:t>6.1</w:t>
      </w:r>
      <w:r w:rsidR="00560E9A" w:rsidRPr="008932A7">
        <w:rPr>
          <w:rFonts w:asciiTheme="minorHAnsi" w:hAnsiTheme="minorHAnsi" w:cstheme="majorBidi"/>
        </w:rPr>
        <w:t xml:space="preserve"> </w:t>
      </w:r>
      <w:r w:rsidR="00517F66" w:rsidRPr="008932A7">
        <w:rPr>
          <w:rFonts w:asciiTheme="minorHAnsi" w:hAnsiTheme="minorHAnsi" w:cstheme="majorBidi"/>
        </w:rPr>
        <w:t xml:space="preserve">percent) </w:t>
      </w:r>
      <w:r w:rsidR="00756981" w:rsidRPr="008932A7">
        <w:rPr>
          <w:rFonts w:asciiTheme="minorHAnsi" w:hAnsiTheme="minorHAnsi" w:cstheme="majorBidi"/>
        </w:rPr>
        <w:t>during</w:t>
      </w:r>
      <w:r w:rsidR="00211075" w:rsidRPr="008932A7">
        <w:rPr>
          <w:rFonts w:asciiTheme="minorHAnsi" w:hAnsiTheme="minorHAnsi" w:cstheme="majorBidi"/>
        </w:rPr>
        <w:t xml:space="preserve"> the quarter</w:t>
      </w:r>
      <w:r w:rsidR="00756981" w:rsidRPr="008932A7">
        <w:rPr>
          <w:rFonts w:asciiTheme="minorHAnsi" w:hAnsiTheme="minorHAnsi" w:cstheme="majorBidi"/>
        </w:rPr>
        <w:t>,</w:t>
      </w:r>
      <w:r w:rsidR="00211075" w:rsidRPr="008932A7">
        <w:rPr>
          <w:rFonts w:asciiTheme="minorHAnsi" w:hAnsiTheme="minorHAnsi" w:cstheme="majorBidi"/>
        </w:rPr>
        <w:t xml:space="preserve"> </w:t>
      </w:r>
      <w:r w:rsidR="00A2193F" w:rsidRPr="008932A7">
        <w:rPr>
          <w:rFonts w:asciiTheme="minorHAnsi" w:hAnsiTheme="minorHAnsi" w:cstheme="majorBidi"/>
        </w:rPr>
        <w:t>to</w:t>
      </w:r>
      <w:r w:rsidR="001C2C91" w:rsidRPr="008932A7">
        <w:rPr>
          <w:rFonts w:asciiTheme="minorHAnsi" w:hAnsiTheme="minorHAnsi" w:cstheme="majorBidi"/>
        </w:rPr>
        <w:t xml:space="preserve"> </w:t>
      </w:r>
      <w:r w:rsidRPr="008932A7">
        <w:rPr>
          <w:rFonts w:asciiTheme="minorHAnsi" w:hAnsiTheme="minorHAnsi" w:cstheme="majorBidi"/>
        </w:rPr>
        <w:t>NIS</w:t>
      </w:r>
      <w:r w:rsidR="001C2C91" w:rsidRPr="008932A7">
        <w:rPr>
          <w:rFonts w:asciiTheme="minorHAnsi" w:hAnsiTheme="minorHAnsi" w:cstheme="majorBidi"/>
        </w:rPr>
        <w:t xml:space="preserve"> </w:t>
      </w:r>
      <w:r w:rsidR="00304614" w:rsidRPr="008932A7">
        <w:rPr>
          <w:rFonts w:asciiTheme="minorHAnsi" w:hAnsiTheme="minorHAnsi" w:cstheme="majorBidi"/>
        </w:rPr>
        <w:t>1.</w:t>
      </w:r>
      <w:r w:rsidR="00560E9A" w:rsidRPr="008932A7">
        <w:rPr>
          <w:rFonts w:asciiTheme="minorHAnsi" w:hAnsiTheme="minorHAnsi" w:cstheme="majorBidi"/>
        </w:rPr>
        <w:t>1</w:t>
      </w:r>
      <w:r w:rsidR="00085E6A" w:rsidRPr="008932A7">
        <w:rPr>
          <w:rFonts w:asciiTheme="minorHAnsi" w:hAnsiTheme="minorHAnsi" w:cstheme="majorBidi"/>
        </w:rPr>
        <w:t>8</w:t>
      </w:r>
      <w:r w:rsidR="00304614" w:rsidRPr="008932A7">
        <w:rPr>
          <w:rFonts w:asciiTheme="minorHAnsi" w:hAnsiTheme="minorHAnsi" w:cstheme="majorBidi"/>
        </w:rPr>
        <w:t xml:space="preserve"> trillion</w:t>
      </w:r>
      <w:r w:rsidR="00560E9A" w:rsidRPr="008932A7">
        <w:rPr>
          <w:rFonts w:asciiTheme="minorHAnsi" w:hAnsiTheme="minorHAnsi" w:cstheme="majorBidi"/>
        </w:rPr>
        <w:t xml:space="preserve"> at</w:t>
      </w:r>
      <w:r w:rsidR="00085E6A" w:rsidRPr="008932A7">
        <w:rPr>
          <w:rFonts w:asciiTheme="minorHAnsi" w:hAnsiTheme="minorHAnsi" w:cstheme="majorBidi"/>
        </w:rPr>
        <w:t xml:space="preserve"> the end of the</w:t>
      </w:r>
      <w:r w:rsidR="00560E9A" w:rsidRPr="008932A7">
        <w:rPr>
          <w:rFonts w:asciiTheme="minorHAnsi" w:hAnsiTheme="minorHAnsi" w:cstheme="majorBidi"/>
        </w:rPr>
        <w:t xml:space="preserve"> quarter</w:t>
      </w:r>
      <w:r w:rsidR="00211075" w:rsidRPr="008932A7">
        <w:rPr>
          <w:rFonts w:asciiTheme="minorHAnsi" w:hAnsiTheme="minorHAnsi" w:cstheme="majorBidi"/>
        </w:rPr>
        <w:t xml:space="preserve">, </w:t>
      </w:r>
      <w:r w:rsidRPr="008932A7">
        <w:rPr>
          <w:rFonts w:asciiTheme="minorHAnsi" w:hAnsiTheme="minorHAnsi" w:cstheme="majorBidi"/>
        </w:rPr>
        <w:t xml:space="preserve">constituting </w:t>
      </w:r>
      <w:r w:rsidR="00E27A87" w:rsidRPr="008932A7">
        <w:rPr>
          <w:rFonts w:asciiTheme="minorHAnsi" w:hAnsiTheme="minorHAnsi" w:cstheme="majorBidi"/>
        </w:rPr>
        <w:t>approximately</w:t>
      </w:r>
      <w:r w:rsidR="00E27A87" w:rsidRPr="008932A7">
        <w:rPr>
          <w:rFonts w:asciiTheme="minorHAnsi" w:hAnsiTheme="minorHAnsi" w:cstheme="majorBidi"/>
          <w:b/>
          <w:bCs/>
        </w:rPr>
        <w:t xml:space="preserve"> </w:t>
      </w:r>
      <w:r w:rsidR="00560E9A" w:rsidRPr="008932A7">
        <w:rPr>
          <w:rFonts w:asciiTheme="minorHAnsi" w:hAnsiTheme="minorHAnsi" w:cstheme="majorBidi"/>
        </w:rPr>
        <w:t>20</w:t>
      </w:r>
      <w:r w:rsidR="00085E6A" w:rsidRPr="008932A7">
        <w:rPr>
          <w:rFonts w:asciiTheme="minorHAnsi" w:hAnsiTheme="minorHAnsi" w:cstheme="majorBidi"/>
        </w:rPr>
        <w:t>.6</w:t>
      </w:r>
      <w:r w:rsidR="00343B20" w:rsidRPr="008932A7">
        <w:rPr>
          <w:rFonts w:asciiTheme="minorHAnsi" w:hAnsiTheme="minorHAnsi" w:cstheme="majorBidi"/>
        </w:rPr>
        <w:t xml:space="preserve"> p</w:t>
      </w:r>
      <w:r w:rsidRPr="008932A7">
        <w:rPr>
          <w:rFonts w:asciiTheme="minorHAnsi" w:hAnsiTheme="minorHAnsi" w:cstheme="majorBidi"/>
        </w:rPr>
        <w:t>ercent of the total asset portfolio</w:t>
      </w:r>
      <w:r w:rsidR="00343B20" w:rsidRPr="008932A7">
        <w:rPr>
          <w:rFonts w:asciiTheme="minorHAnsi" w:hAnsiTheme="minorHAnsi" w:cstheme="majorBidi"/>
        </w:rPr>
        <w:t>.</w:t>
      </w:r>
      <w:r w:rsidR="002B0BD0" w:rsidRPr="008932A7">
        <w:rPr>
          <w:rFonts w:asciiTheme="minorHAnsi" w:hAnsiTheme="minorHAnsi" w:cstheme="majorBidi"/>
        </w:rPr>
        <w:t xml:space="preserve"> The </w:t>
      </w:r>
      <w:r w:rsidR="00560E9A" w:rsidRPr="008932A7">
        <w:rPr>
          <w:rFonts w:asciiTheme="minorHAnsi" w:hAnsiTheme="minorHAnsi" w:cstheme="majorBidi"/>
        </w:rPr>
        <w:t xml:space="preserve">development in the balance of investments abroad </w:t>
      </w:r>
      <w:r w:rsidR="00085E6A" w:rsidRPr="008932A7">
        <w:rPr>
          <w:rFonts w:asciiTheme="minorHAnsi" w:hAnsiTheme="minorHAnsi" w:cstheme="majorBidi"/>
        </w:rPr>
        <w:t xml:space="preserve">was mainly due to </w:t>
      </w:r>
      <w:r w:rsidR="002B0BD0" w:rsidRPr="008932A7">
        <w:rPr>
          <w:rFonts w:asciiTheme="minorHAnsi" w:hAnsiTheme="minorHAnsi" w:cstheme="majorBidi"/>
        </w:rPr>
        <w:t>the following components:</w:t>
      </w:r>
      <w:r w:rsidR="00343B20" w:rsidRPr="008932A7">
        <w:rPr>
          <w:rFonts w:asciiTheme="minorHAnsi" w:hAnsiTheme="minorHAnsi" w:cstheme="majorBidi"/>
        </w:rPr>
        <w:t xml:space="preserve"> </w:t>
      </w:r>
    </w:p>
    <w:p w14:paraId="7F4D805D" w14:textId="77777777" w:rsidR="00466D57" w:rsidRPr="008932A7" w:rsidRDefault="00466D57" w:rsidP="007E422E">
      <w:pPr>
        <w:bidi w:val="0"/>
        <w:spacing w:line="300" w:lineRule="exact"/>
        <w:jc w:val="both"/>
        <w:rPr>
          <w:rFonts w:asciiTheme="minorHAnsi" w:hAnsiTheme="minorHAnsi" w:cstheme="majorBidi"/>
        </w:rPr>
      </w:pPr>
    </w:p>
    <w:p w14:paraId="571E3B27" w14:textId="1A5316F7" w:rsidR="00304614" w:rsidRPr="008932A7" w:rsidRDefault="00304614" w:rsidP="00085E6A">
      <w:pPr>
        <w:pStyle w:val="ab"/>
        <w:numPr>
          <w:ilvl w:val="0"/>
          <w:numId w:val="24"/>
        </w:numPr>
        <w:bidi w:val="0"/>
        <w:spacing w:line="300" w:lineRule="exact"/>
        <w:jc w:val="both"/>
        <w:rPr>
          <w:rFonts w:asciiTheme="minorHAnsi" w:hAnsiTheme="minorHAnsi" w:cstheme="majorBidi"/>
        </w:rPr>
      </w:pPr>
      <w:r w:rsidRPr="008932A7">
        <w:rPr>
          <w:rFonts w:asciiTheme="minorHAnsi" w:hAnsiTheme="minorHAnsi" w:cstheme="majorBidi"/>
        </w:rPr>
        <w:t xml:space="preserve">The balance of </w:t>
      </w:r>
      <w:r w:rsidRPr="008932A7">
        <w:rPr>
          <w:rFonts w:asciiTheme="minorHAnsi" w:hAnsiTheme="minorHAnsi" w:cstheme="majorBidi"/>
          <w:b/>
          <w:bCs/>
        </w:rPr>
        <w:t>equities held abroad</w:t>
      </w:r>
      <w:r w:rsidRPr="008932A7">
        <w:rPr>
          <w:rFonts w:asciiTheme="minorHAnsi" w:hAnsiTheme="minorHAnsi" w:cstheme="majorBidi"/>
        </w:rPr>
        <w:t xml:space="preserve"> increased by </w:t>
      </w:r>
      <w:r w:rsidR="00C66406" w:rsidRPr="008932A7">
        <w:rPr>
          <w:rFonts w:asciiTheme="minorHAnsi" w:hAnsiTheme="minorHAnsi" w:cstheme="majorBidi"/>
        </w:rPr>
        <w:t xml:space="preserve">approximately </w:t>
      </w:r>
      <w:r w:rsidRPr="008932A7">
        <w:rPr>
          <w:rFonts w:asciiTheme="minorHAnsi" w:hAnsiTheme="minorHAnsi" w:cstheme="majorBidi"/>
        </w:rPr>
        <w:t xml:space="preserve">NIS </w:t>
      </w:r>
      <w:r w:rsidR="00085E6A" w:rsidRPr="008932A7">
        <w:rPr>
          <w:rFonts w:asciiTheme="minorHAnsi" w:hAnsiTheme="minorHAnsi" w:cstheme="majorBidi"/>
        </w:rPr>
        <w:t>40</w:t>
      </w:r>
      <w:r w:rsidRPr="008932A7">
        <w:rPr>
          <w:rFonts w:asciiTheme="minorHAnsi" w:hAnsiTheme="minorHAnsi" w:cstheme="majorBidi"/>
        </w:rPr>
        <w:t xml:space="preserve"> billion (</w:t>
      </w:r>
      <w:r w:rsidR="00085E6A" w:rsidRPr="008932A7">
        <w:rPr>
          <w:rFonts w:asciiTheme="minorHAnsi" w:hAnsiTheme="minorHAnsi" w:cstheme="majorBidi"/>
        </w:rPr>
        <w:t>6.4</w:t>
      </w:r>
      <w:r w:rsidRPr="008932A7">
        <w:rPr>
          <w:rFonts w:asciiTheme="minorHAnsi" w:hAnsiTheme="minorHAnsi" w:cstheme="majorBidi"/>
        </w:rPr>
        <w:t xml:space="preserve"> percent), to </w:t>
      </w:r>
      <w:r w:rsidR="00085E6A" w:rsidRPr="008932A7">
        <w:rPr>
          <w:rFonts w:asciiTheme="minorHAnsi" w:hAnsiTheme="minorHAnsi" w:cstheme="majorBidi"/>
        </w:rPr>
        <w:t xml:space="preserve">about </w:t>
      </w:r>
      <w:r w:rsidRPr="008932A7">
        <w:rPr>
          <w:rFonts w:asciiTheme="minorHAnsi" w:hAnsiTheme="minorHAnsi" w:cstheme="majorBidi"/>
        </w:rPr>
        <w:t xml:space="preserve">NIS </w:t>
      </w:r>
      <w:r w:rsidR="00407B1E" w:rsidRPr="008932A7">
        <w:rPr>
          <w:rFonts w:asciiTheme="minorHAnsi" w:hAnsiTheme="minorHAnsi" w:cstheme="majorBidi"/>
        </w:rPr>
        <w:t>6</w:t>
      </w:r>
      <w:r w:rsidR="00085E6A" w:rsidRPr="008932A7">
        <w:rPr>
          <w:rFonts w:asciiTheme="minorHAnsi" w:hAnsiTheme="minorHAnsi" w:cstheme="majorBidi"/>
        </w:rPr>
        <w:t>6</w:t>
      </w:r>
      <w:r w:rsidR="00407B1E" w:rsidRPr="008932A7">
        <w:rPr>
          <w:rFonts w:asciiTheme="minorHAnsi" w:hAnsiTheme="minorHAnsi" w:cstheme="majorBidi"/>
        </w:rPr>
        <w:t>9</w:t>
      </w:r>
      <w:r w:rsidR="00085E6A" w:rsidRPr="008932A7">
        <w:rPr>
          <w:rFonts w:asciiTheme="minorHAnsi" w:hAnsiTheme="minorHAnsi" w:cstheme="majorBidi"/>
        </w:rPr>
        <w:t>.7</w:t>
      </w:r>
      <w:r w:rsidR="00407B1E" w:rsidRPr="008932A7">
        <w:rPr>
          <w:rFonts w:asciiTheme="minorHAnsi" w:hAnsiTheme="minorHAnsi" w:cstheme="majorBidi"/>
        </w:rPr>
        <w:t xml:space="preserve"> </w:t>
      </w:r>
      <w:r w:rsidRPr="008932A7">
        <w:rPr>
          <w:rFonts w:asciiTheme="minorHAnsi" w:hAnsiTheme="minorHAnsi" w:cstheme="majorBidi"/>
        </w:rPr>
        <w:t>billion.</w:t>
      </w:r>
      <w:r w:rsidR="00407B1E" w:rsidRPr="008932A7">
        <w:rPr>
          <w:rFonts w:asciiTheme="minorHAnsi" w:hAnsiTheme="minorHAnsi" w:cstheme="majorBidi"/>
        </w:rPr>
        <w:t xml:space="preserve"> This was mainly the result </w:t>
      </w:r>
      <w:r w:rsidRPr="008932A7">
        <w:rPr>
          <w:rFonts w:asciiTheme="minorHAnsi" w:hAnsiTheme="minorHAnsi" w:cstheme="majorBidi"/>
        </w:rPr>
        <w:t>of price increases and net investments,</w:t>
      </w:r>
      <w:r w:rsidR="00407B1E" w:rsidRPr="008932A7">
        <w:rPr>
          <w:rFonts w:asciiTheme="minorHAnsi" w:hAnsiTheme="minorHAnsi" w:cstheme="majorBidi"/>
        </w:rPr>
        <w:t xml:space="preserve"> (estimated to be </w:t>
      </w:r>
      <w:r w:rsidR="00085E6A" w:rsidRPr="008932A7">
        <w:rPr>
          <w:rFonts w:asciiTheme="minorHAnsi" w:hAnsiTheme="minorHAnsi" w:cstheme="majorBidi"/>
        </w:rPr>
        <w:t xml:space="preserve">about </w:t>
      </w:r>
      <w:r w:rsidR="00407B1E" w:rsidRPr="008932A7">
        <w:rPr>
          <w:rFonts w:asciiTheme="minorHAnsi" w:hAnsiTheme="minorHAnsi" w:cstheme="majorBidi"/>
        </w:rPr>
        <w:t xml:space="preserve">NIS </w:t>
      </w:r>
      <w:r w:rsidR="00085E6A" w:rsidRPr="008932A7">
        <w:rPr>
          <w:rFonts w:asciiTheme="minorHAnsi" w:hAnsiTheme="minorHAnsi" w:cstheme="majorBidi"/>
        </w:rPr>
        <w:t>11.8</w:t>
      </w:r>
      <w:r w:rsidR="00407B1E" w:rsidRPr="008932A7">
        <w:rPr>
          <w:rFonts w:asciiTheme="minorHAnsi" w:hAnsiTheme="minorHAnsi" w:cstheme="majorBidi"/>
        </w:rPr>
        <w:t xml:space="preserve"> billion)</w:t>
      </w:r>
      <w:r w:rsidR="00D37A86" w:rsidRPr="008932A7">
        <w:rPr>
          <w:rFonts w:asciiTheme="minorHAnsi" w:hAnsiTheme="minorHAnsi" w:cstheme="majorBidi"/>
        </w:rPr>
        <w:t>.</w:t>
      </w:r>
    </w:p>
    <w:p w14:paraId="1DB92996" w14:textId="77777777" w:rsidR="002D746E" w:rsidRPr="008932A7" w:rsidRDefault="004D2C0E" w:rsidP="00085E6A">
      <w:pPr>
        <w:pStyle w:val="ab"/>
        <w:numPr>
          <w:ilvl w:val="0"/>
          <w:numId w:val="24"/>
        </w:numPr>
        <w:bidi w:val="0"/>
        <w:spacing w:line="300" w:lineRule="exact"/>
        <w:ind w:left="709"/>
        <w:jc w:val="both"/>
        <w:rPr>
          <w:rFonts w:asciiTheme="minorHAnsi" w:hAnsiTheme="minorHAnsi" w:cstheme="majorBidi"/>
        </w:rPr>
      </w:pPr>
      <w:r w:rsidRPr="008932A7">
        <w:rPr>
          <w:rFonts w:asciiTheme="minorHAnsi" w:hAnsiTheme="minorHAnsi" w:cstheme="majorBidi"/>
        </w:rPr>
        <w:t xml:space="preserve">The balance of </w:t>
      </w:r>
      <w:r w:rsidRPr="008932A7">
        <w:rPr>
          <w:rFonts w:asciiTheme="minorHAnsi" w:hAnsiTheme="minorHAnsi" w:cstheme="majorBidi"/>
          <w:b/>
          <w:bCs/>
        </w:rPr>
        <w:t>tradable (corporate and government) bonds abroad</w:t>
      </w:r>
      <w:r w:rsidRPr="008932A7">
        <w:rPr>
          <w:rFonts w:asciiTheme="minorHAnsi" w:hAnsiTheme="minorHAnsi" w:cstheme="majorBidi"/>
        </w:rPr>
        <w:t xml:space="preserve"> increased by </w:t>
      </w:r>
      <w:r w:rsidR="00C66406" w:rsidRPr="008932A7">
        <w:rPr>
          <w:rFonts w:asciiTheme="minorHAnsi" w:hAnsiTheme="minorHAnsi" w:cstheme="majorBidi"/>
        </w:rPr>
        <w:t xml:space="preserve">approximately </w:t>
      </w:r>
      <w:r w:rsidRPr="008932A7">
        <w:rPr>
          <w:rFonts w:asciiTheme="minorHAnsi" w:hAnsiTheme="minorHAnsi" w:cstheme="majorBidi"/>
        </w:rPr>
        <w:t xml:space="preserve">NIS </w:t>
      </w:r>
      <w:r w:rsidR="00085E6A" w:rsidRPr="008932A7">
        <w:rPr>
          <w:rFonts w:asciiTheme="minorHAnsi" w:hAnsiTheme="minorHAnsi" w:cstheme="majorBidi"/>
        </w:rPr>
        <w:t>15</w:t>
      </w:r>
      <w:r w:rsidR="00D37A86" w:rsidRPr="008932A7">
        <w:rPr>
          <w:rFonts w:asciiTheme="minorHAnsi" w:hAnsiTheme="minorHAnsi" w:cstheme="majorBidi"/>
        </w:rPr>
        <w:t xml:space="preserve"> billion (</w:t>
      </w:r>
      <w:r w:rsidR="00085E6A" w:rsidRPr="008932A7">
        <w:rPr>
          <w:rFonts w:asciiTheme="minorHAnsi" w:hAnsiTheme="minorHAnsi" w:cstheme="majorBidi"/>
        </w:rPr>
        <w:t>5.9</w:t>
      </w:r>
      <w:r w:rsidRPr="008932A7">
        <w:rPr>
          <w:rFonts w:asciiTheme="minorHAnsi" w:hAnsiTheme="minorHAnsi" w:cstheme="majorBidi"/>
        </w:rPr>
        <w:t xml:space="preserve"> percent) during the quarter, to about NIS </w:t>
      </w:r>
      <w:r w:rsidR="00D37A86" w:rsidRPr="008932A7">
        <w:rPr>
          <w:rFonts w:asciiTheme="minorHAnsi" w:hAnsiTheme="minorHAnsi" w:cstheme="majorBidi"/>
        </w:rPr>
        <w:t>2</w:t>
      </w:r>
      <w:r w:rsidR="00085E6A" w:rsidRPr="008932A7">
        <w:rPr>
          <w:rFonts w:asciiTheme="minorHAnsi" w:hAnsiTheme="minorHAnsi" w:cstheme="majorBidi"/>
        </w:rPr>
        <w:t>69.6</w:t>
      </w:r>
      <w:r w:rsidR="00D37A86" w:rsidRPr="008932A7">
        <w:rPr>
          <w:rFonts w:asciiTheme="minorHAnsi" w:hAnsiTheme="minorHAnsi" w:cstheme="majorBidi"/>
        </w:rPr>
        <w:t xml:space="preserve"> </w:t>
      </w:r>
      <w:r w:rsidRPr="008932A7">
        <w:rPr>
          <w:rFonts w:asciiTheme="minorHAnsi" w:hAnsiTheme="minorHAnsi" w:cstheme="majorBidi"/>
        </w:rPr>
        <w:t xml:space="preserve">billion. This increase </w:t>
      </w:r>
      <w:r w:rsidR="00085E6A" w:rsidRPr="008932A7">
        <w:rPr>
          <w:rFonts w:asciiTheme="minorHAnsi" w:hAnsiTheme="minorHAnsi" w:cstheme="majorBidi"/>
        </w:rPr>
        <w:t>was</w:t>
      </w:r>
      <w:r w:rsidRPr="008932A7">
        <w:rPr>
          <w:rFonts w:asciiTheme="minorHAnsi" w:hAnsiTheme="minorHAnsi" w:cstheme="majorBidi"/>
        </w:rPr>
        <w:t xml:space="preserve"> mainly </w:t>
      </w:r>
      <w:r w:rsidR="00085E6A" w:rsidRPr="008932A7">
        <w:rPr>
          <w:rFonts w:asciiTheme="minorHAnsi" w:hAnsiTheme="minorHAnsi" w:cstheme="majorBidi"/>
        </w:rPr>
        <w:t>due to</w:t>
      </w:r>
      <w:r w:rsidR="00304614" w:rsidRPr="008932A7">
        <w:rPr>
          <w:rFonts w:asciiTheme="minorHAnsi" w:hAnsiTheme="minorHAnsi" w:cstheme="majorBidi"/>
        </w:rPr>
        <w:t xml:space="preserve"> net investments totaling </w:t>
      </w:r>
      <w:r w:rsidR="00085E6A" w:rsidRPr="008932A7">
        <w:rPr>
          <w:rFonts w:asciiTheme="minorHAnsi" w:hAnsiTheme="minorHAnsi" w:cstheme="majorBidi"/>
        </w:rPr>
        <w:t xml:space="preserve">about </w:t>
      </w:r>
      <w:r w:rsidR="00304614" w:rsidRPr="008932A7">
        <w:rPr>
          <w:rFonts w:asciiTheme="minorHAnsi" w:hAnsiTheme="minorHAnsi" w:cstheme="majorBidi"/>
        </w:rPr>
        <w:t xml:space="preserve">NIS </w:t>
      </w:r>
      <w:r w:rsidR="00393091" w:rsidRPr="008932A7">
        <w:rPr>
          <w:rFonts w:asciiTheme="minorHAnsi" w:hAnsiTheme="minorHAnsi" w:cstheme="majorBidi"/>
        </w:rPr>
        <w:t>1</w:t>
      </w:r>
      <w:r w:rsidR="00085E6A" w:rsidRPr="008932A7">
        <w:rPr>
          <w:rFonts w:asciiTheme="minorHAnsi" w:hAnsiTheme="minorHAnsi" w:cstheme="majorBidi"/>
        </w:rPr>
        <w:t>0.6</w:t>
      </w:r>
      <w:r w:rsidR="00393091" w:rsidRPr="008932A7">
        <w:rPr>
          <w:rFonts w:asciiTheme="minorHAnsi" w:hAnsiTheme="minorHAnsi" w:cstheme="majorBidi"/>
        </w:rPr>
        <w:t xml:space="preserve"> </w:t>
      </w:r>
      <w:r w:rsidR="00304614" w:rsidRPr="008932A7">
        <w:rPr>
          <w:rFonts w:asciiTheme="minorHAnsi" w:hAnsiTheme="minorHAnsi" w:cstheme="majorBidi"/>
        </w:rPr>
        <w:t>billion</w:t>
      </w:r>
      <w:r w:rsidR="002861D9" w:rsidRPr="008932A7">
        <w:rPr>
          <w:rFonts w:asciiTheme="minorHAnsi" w:hAnsiTheme="minorHAnsi" w:cstheme="majorBidi"/>
        </w:rPr>
        <w:t>.</w:t>
      </w:r>
    </w:p>
    <w:p w14:paraId="0779BC96" w14:textId="6E6A461C" w:rsidR="00A36FE7" w:rsidRPr="008932A7" w:rsidRDefault="002D746E" w:rsidP="002D746E">
      <w:pPr>
        <w:pStyle w:val="ab"/>
        <w:numPr>
          <w:ilvl w:val="0"/>
          <w:numId w:val="24"/>
        </w:numPr>
        <w:bidi w:val="0"/>
        <w:spacing w:line="300" w:lineRule="exact"/>
        <w:ind w:left="709"/>
        <w:jc w:val="both"/>
        <w:rPr>
          <w:rFonts w:asciiTheme="minorHAnsi" w:hAnsiTheme="minorHAnsi" w:cstheme="majorBidi"/>
        </w:rPr>
      </w:pPr>
      <w:r w:rsidRPr="008932A7">
        <w:rPr>
          <w:rFonts w:asciiTheme="minorHAnsi" w:hAnsiTheme="minorHAnsi" w:cstheme="majorBidi"/>
        </w:rPr>
        <w:t xml:space="preserve">The balance of </w:t>
      </w:r>
      <w:r w:rsidRPr="008932A7">
        <w:rPr>
          <w:rFonts w:asciiTheme="minorHAnsi" w:hAnsiTheme="minorHAnsi" w:cstheme="majorBidi"/>
          <w:b/>
          <w:bCs/>
        </w:rPr>
        <w:t>investment funds</w:t>
      </w:r>
      <w:r w:rsidRPr="008932A7">
        <w:rPr>
          <w:rFonts w:asciiTheme="minorHAnsi" w:hAnsiTheme="minorHAnsi" w:cstheme="majorBidi"/>
        </w:rPr>
        <w:t xml:space="preserve"> increased by about NIS 12 billion (5.4 percent) to about NIS 242.9 billion at the end of the quarter.</w:t>
      </w:r>
      <w:r w:rsidR="00304614" w:rsidRPr="008932A7">
        <w:rPr>
          <w:rFonts w:asciiTheme="minorHAnsi" w:hAnsiTheme="minorHAnsi" w:cstheme="majorBidi"/>
        </w:rPr>
        <w:t xml:space="preserve"> </w:t>
      </w:r>
    </w:p>
    <w:p w14:paraId="0DCC6434" w14:textId="77777777" w:rsidR="00085E6A" w:rsidRPr="008932A7" w:rsidRDefault="00085E6A" w:rsidP="00085E6A">
      <w:pPr>
        <w:pStyle w:val="ab"/>
        <w:bidi w:val="0"/>
        <w:spacing w:line="300" w:lineRule="exact"/>
        <w:ind w:left="709"/>
        <w:jc w:val="both"/>
        <w:rPr>
          <w:rFonts w:asciiTheme="minorHAnsi" w:hAnsiTheme="minorHAnsi" w:cstheme="majorBidi"/>
        </w:rPr>
      </w:pPr>
    </w:p>
    <w:p w14:paraId="64448DAC" w14:textId="022B2378" w:rsidR="00AC12BA" w:rsidRPr="008932A7" w:rsidRDefault="00A36FE7" w:rsidP="002D746E">
      <w:pPr>
        <w:bidi w:val="0"/>
        <w:spacing w:line="300" w:lineRule="exact"/>
        <w:ind w:left="66"/>
        <w:jc w:val="both"/>
        <w:rPr>
          <w:rFonts w:asciiTheme="minorHAnsi" w:hAnsiTheme="minorHAnsi" w:cstheme="majorBidi"/>
        </w:rPr>
      </w:pPr>
      <w:r w:rsidRPr="008932A7">
        <w:rPr>
          <w:rFonts w:asciiTheme="minorHAnsi" w:hAnsiTheme="minorHAnsi" w:cstheme="majorBidi"/>
        </w:rPr>
        <w:t xml:space="preserve">As a result of </w:t>
      </w:r>
      <w:r w:rsidR="00304614" w:rsidRPr="008932A7">
        <w:rPr>
          <w:rFonts w:asciiTheme="minorHAnsi" w:hAnsiTheme="minorHAnsi" w:cstheme="majorBidi"/>
        </w:rPr>
        <w:t xml:space="preserve">the </w:t>
      </w:r>
      <w:r w:rsidRPr="008932A7">
        <w:rPr>
          <w:rFonts w:asciiTheme="minorHAnsi" w:hAnsiTheme="minorHAnsi" w:cstheme="majorBidi"/>
        </w:rPr>
        <w:t xml:space="preserve">developments during the </w:t>
      </w:r>
      <w:r w:rsidR="00C16DFE" w:rsidRPr="008932A7">
        <w:rPr>
          <w:rFonts w:asciiTheme="minorHAnsi" w:hAnsiTheme="minorHAnsi" w:cstheme="majorBidi"/>
        </w:rPr>
        <w:t>quarter</w:t>
      </w:r>
      <w:r w:rsidRPr="008932A7">
        <w:rPr>
          <w:rFonts w:asciiTheme="minorHAnsi" w:hAnsiTheme="minorHAnsi" w:cstheme="majorBidi"/>
        </w:rPr>
        <w:t xml:space="preserve">, there </w:t>
      </w:r>
      <w:r w:rsidR="00304614" w:rsidRPr="008932A7">
        <w:rPr>
          <w:rFonts w:asciiTheme="minorHAnsi" w:hAnsiTheme="minorHAnsi" w:cstheme="majorBidi"/>
        </w:rPr>
        <w:t xml:space="preserve">was an increase </w:t>
      </w:r>
      <w:r w:rsidRPr="008932A7">
        <w:rPr>
          <w:rFonts w:asciiTheme="minorHAnsi" w:hAnsiTheme="minorHAnsi" w:cstheme="majorBidi"/>
        </w:rPr>
        <w:t xml:space="preserve">of about </w:t>
      </w:r>
      <w:r w:rsidR="00393091" w:rsidRPr="008932A7">
        <w:rPr>
          <w:rFonts w:asciiTheme="minorHAnsi" w:hAnsiTheme="minorHAnsi" w:cstheme="majorBidi"/>
        </w:rPr>
        <w:t>1.</w:t>
      </w:r>
      <w:r w:rsidR="002D746E" w:rsidRPr="008932A7">
        <w:rPr>
          <w:rFonts w:asciiTheme="minorHAnsi" w:hAnsiTheme="minorHAnsi" w:cstheme="majorBidi"/>
        </w:rPr>
        <w:t>1</w:t>
      </w:r>
      <w:r w:rsidR="00C14D26" w:rsidRPr="008932A7">
        <w:rPr>
          <w:rFonts w:asciiTheme="minorHAnsi" w:hAnsiTheme="minorHAnsi" w:cstheme="majorBidi"/>
        </w:rPr>
        <w:t xml:space="preserve"> </w:t>
      </w:r>
      <w:r w:rsidR="00AC12BA" w:rsidRPr="008932A7">
        <w:rPr>
          <w:rFonts w:asciiTheme="minorHAnsi" w:hAnsiTheme="minorHAnsi" w:cstheme="majorBidi"/>
        </w:rPr>
        <w:t>percentage point</w:t>
      </w:r>
      <w:r w:rsidR="008F720F" w:rsidRPr="008932A7">
        <w:rPr>
          <w:rFonts w:asciiTheme="minorHAnsi" w:hAnsiTheme="minorHAnsi" w:cstheme="majorBidi"/>
        </w:rPr>
        <w:t>s</w:t>
      </w:r>
      <w:r w:rsidR="00B46EB5" w:rsidRPr="008932A7">
        <w:rPr>
          <w:rFonts w:asciiTheme="minorHAnsi" w:hAnsiTheme="minorHAnsi" w:cstheme="majorBidi"/>
        </w:rPr>
        <w:t xml:space="preserve"> </w:t>
      </w:r>
      <w:r w:rsidR="009A22E0" w:rsidRPr="008932A7">
        <w:rPr>
          <w:rFonts w:asciiTheme="minorHAnsi" w:hAnsiTheme="minorHAnsi" w:cstheme="majorBidi"/>
        </w:rPr>
        <w:t xml:space="preserve">(from </w:t>
      </w:r>
      <w:r w:rsidR="00393091" w:rsidRPr="008932A7">
        <w:rPr>
          <w:rFonts w:asciiTheme="minorHAnsi" w:hAnsiTheme="minorHAnsi" w:cstheme="majorBidi"/>
        </w:rPr>
        <w:t>2</w:t>
      </w:r>
      <w:r w:rsidR="002D746E" w:rsidRPr="008932A7">
        <w:rPr>
          <w:rFonts w:asciiTheme="minorHAnsi" w:hAnsiTheme="minorHAnsi" w:cstheme="majorBidi"/>
        </w:rPr>
        <w:t>6.6</w:t>
      </w:r>
      <w:r w:rsidR="00393091" w:rsidRPr="008932A7">
        <w:rPr>
          <w:rFonts w:asciiTheme="minorHAnsi" w:hAnsiTheme="minorHAnsi" w:cstheme="majorBidi"/>
        </w:rPr>
        <w:t xml:space="preserve"> </w:t>
      </w:r>
      <w:r w:rsidR="009A22E0" w:rsidRPr="008932A7">
        <w:rPr>
          <w:rFonts w:asciiTheme="minorHAnsi" w:hAnsiTheme="minorHAnsi" w:cstheme="majorBidi"/>
        </w:rPr>
        <w:t xml:space="preserve">percent to </w:t>
      </w:r>
      <w:r w:rsidR="00393091" w:rsidRPr="008932A7">
        <w:rPr>
          <w:rFonts w:asciiTheme="minorHAnsi" w:hAnsiTheme="minorHAnsi" w:cstheme="majorBidi"/>
        </w:rPr>
        <w:t>2</w:t>
      </w:r>
      <w:r w:rsidR="002D746E" w:rsidRPr="008932A7">
        <w:rPr>
          <w:rFonts w:asciiTheme="minorHAnsi" w:hAnsiTheme="minorHAnsi" w:cstheme="majorBidi"/>
        </w:rPr>
        <w:t>7.7</w:t>
      </w:r>
      <w:r w:rsidR="00393091" w:rsidRPr="008932A7">
        <w:rPr>
          <w:rFonts w:asciiTheme="minorHAnsi" w:hAnsiTheme="minorHAnsi" w:cstheme="majorBidi"/>
        </w:rPr>
        <w:t xml:space="preserve"> </w:t>
      </w:r>
      <w:r w:rsidR="009A22E0" w:rsidRPr="008932A7">
        <w:rPr>
          <w:rFonts w:asciiTheme="minorHAnsi" w:hAnsiTheme="minorHAnsi" w:cstheme="majorBidi"/>
        </w:rPr>
        <w:t xml:space="preserve">percent) </w:t>
      </w:r>
      <w:r w:rsidR="006A10A7" w:rsidRPr="008932A7">
        <w:rPr>
          <w:rFonts w:asciiTheme="minorHAnsi" w:hAnsiTheme="minorHAnsi" w:cstheme="majorBidi"/>
        </w:rPr>
        <w:t xml:space="preserve">in the share of </w:t>
      </w:r>
      <w:r w:rsidR="00CB0861" w:rsidRPr="008932A7">
        <w:rPr>
          <w:rFonts w:asciiTheme="minorHAnsi" w:hAnsiTheme="minorHAnsi" w:cstheme="majorBidi"/>
        </w:rPr>
        <w:t>foreign</w:t>
      </w:r>
      <w:r w:rsidR="009A22E0" w:rsidRPr="008932A7">
        <w:rPr>
          <w:rFonts w:asciiTheme="minorHAnsi" w:hAnsiTheme="minorHAnsi" w:cstheme="majorBidi"/>
        </w:rPr>
        <w:t xml:space="preserve"> </w:t>
      </w:r>
      <w:r w:rsidR="00FC7D67" w:rsidRPr="008932A7">
        <w:rPr>
          <w:rFonts w:asciiTheme="minorHAnsi" w:hAnsiTheme="minorHAnsi" w:cstheme="majorBidi"/>
        </w:rPr>
        <w:t xml:space="preserve">currency </w:t>
      </w:r>
      <w:r w:rsidR="00301495" w:rsidRPr="008932A7">
        <w:rPr>
          <w:rFonts w:asciiTheme="minorHAnsi" w:hAnsiTheme="minorHAnsi" w:cstheme="majorBidi"/>
        </w:rPr>
        <w:t>assets</w:t>
      </w:r>
      <w:r w:rsidR="003E613D" w:rsidRPr="008932A7">
        <w:rPr>
          <w:rFonts w:asciiTheme="minorHAnsi" w:hAnsiTheme="minorHAnsi" w:cstheme="majorBidi"/>
        </w:rPr>
        <w:t xml:space="preserve">, and </w:t>
      </w:r>
      <w:r w:rsidR="000D5FCD" w:rsidRPr="008932A7">
        <w:rPr>
          <w:rFonts w:asciiTheme="minorHAnsi" w:hAnsiTheme="minorHAnsi" w:cstheme="majorBidi"/>
        </w:rPr>
        <w:t xml:space="preserve">an increase </w:t>
      </w:r>
      <w:r w:rsidR="00B358F4" w:rsidRPr="008932A7">
        <w:rPr>
          <w:rFonts w:asciiTheme="minorHAnsi" w:hAnsiTheme="minorHAnsi" w:cstheme="majorBidi"/>
        </w:rPr>
        <w:t xml:space="preserve">of about </w:t>
      </w:r>
      <w:r w:rsidR="002D746E" w:rsidRPr="008932A7">
        <w:rPr>
          <w:rFonts w:asciiTheme="minorHAnsi" w:hAnsiTheme="minorHAnsi" w:cstheme="majorBidi"/>
        </w:rPr>
        <w:t>1</w:t>
      </w:r>
      <w:r w:rsidR="00304614" w:rsidRPr="008932A7">
        <w:rPr>
          <w:rFonts w:asciiTheme="minorHAnsi" w:hAnsiTheme="minorHAnsi" w:cstheme="majorBidi"/>
        </w:rPr>
        <w:t xml:space="preserve"> </w:t>
      </w:r>
      <w:r w:rsidR="00B358F4" w:rsidRPr="008932A7">
        <w:rPr>
          <w:rFonts w:asciiTheme="minorHAnsi" w:hAnsiTheme="minorHAnsi" w:cstheme="majorBidi"/>
        </w:rPr>
        <w:t xml:space="preserve">percentage point (from </w:t>
      </w:r>
      <w:r w:rsidR="000D5FCD" w:rsidRPr="008932A7">
        <w:rPr>
          <w:rFonts w:asciiTheme="minorHAnsi" w:hAnsiTheme="minorHAnsi" w:cstheme="majorBidi"/>
        </w:rPr>
        <w:t>19</w:t>
      </w:r>
      <w:r w:rsidR="002D746E" w:rsidRPr="008932A7">
        <w:rPr>
          <w:rFonts w:asciiTheme="minorHAnsi" w:hAnsiTheme="minorHAnsi" w:cstheme="majorBidi"/>
        </w:rPr>
        <w:t>.6</w:t>
      </w:r>
      <w:r w:rsidR="000D5FCD" w:rsidRPr="008932A7">
        <w:rPr>
          <w:rFonts w:asciiTheme="minorHAnsi" w:hAnsiTheme="minorHAnsi" w:cstheme="majorBidi"/>
        </w:rPr>
        <w:t xml:space="preserve"> </w:t>
      </w:r>
      <w:r w:rsidR="00B358F4" w:rsidRPr="008932A7">
        <w:rPr>
          <w:rFonts w:asciiTheme="minorHAnsi" w:hAnsiTheme="minorHAnsi" w:cstheme="majorBidi"/>
        </w:rPr>
        <w:t xml:space="preserve">percent to </w:t>
      </w:r>
      <w:r w:rsidR="002D746E" w:rsidRPr="008932A7">
        <w:rPr>
          <w:rFonts w:asciiTheme="minorHAnsi" w:hAnsiTheme="minorHAnsi" w:cstheme="majorBidi"/>
        </w:rPr>
        <w:t>20</w:t>
      </w:r>
      <w:r w:rsidR="000D5FCD" w:rsidRPr="008932A7">
        <w:rPr>
          <w:rFonts w:asciiTheme="minorHAnsi" w:hAnsiTheme="minorHAnsi" w:cstheme="majorBidi"/>
        </w:rPr>
        <w:t xml:space="preserve">.6 </w:t>
      </w:r>
      <w:r w:rsidR="00B358F4" w:rsidRPr="008932A7">
        <w:rPr>
          <w:rFonts w:asciiTheme="minorHAnsi" w:hAnsiTheme="minorHAnsi" w:cstheme="majorBidi"/>
        </w:rPr>
        <w:t>percent) in the share of foreign assets</w:t>
      </w:r>
      <w:r w:rsidR="00A50808" w:rsidRPr="008932A7">
        <w:rPr>
          <w:rFonts w:asciiTheme="minorHAnsi" w:hAnsiTheme="minorHAnsi" w:cstheme="majorBidi"/>
        </w:rPr>
        <w:t>.</w:t>
      </w:r>
      <w:r w:rsidRPr="008932A7">
        <w:rPr>
          <w:rFonts w:asciiTheme="minorHAnsi" w:hAnsiTheme="minorHAnsi" w:cstheme="majorBidi"/>
        </w:rPr>
        <w:t xml:space="preserve"> </w:t>
      </w:r>
    </w:p>
    <w:p w14:paraId="34FBEEC1" w14:textId="77777777" w:rsidR="00AC12BA" w:rsidRPr="008932A7" w:rsidRDefault="00AC12BA" w:rsidP="007E422E">
      <w:pPr>
        <w:bidi w:val="0"/>
        <w:spacing w:line="300" w:lineRule="exact"/>
        <w:jc w:val="both"/>
        <w:rPr>
          <w:rFonts w:asciiTheme="minorHAnsi" w:hAnsiTheme="minorHAnsi" w:cstheme="majorBidi"/>
        </w:rPr>
      </w:pPr>
    </w:p>
    <w:p w14:paraId="400331D6" w14:textId="5852F875" w:rsidR="00111C23" w:rsidRPr="008932A7" w:rsidRDefault="00111C23" w:rsidP="007E422E">
      <w:pPr>
        <w:bidi w:val="0"/>
        <w:spacing w:line="300" w:lineRule="exact"/>
        <w:jc w:val="both"/>
        <w:rPr>
          <w:rFonts w:asciiTheme="minorHAnsi" w:hAnsiTheme="minorHAnsi" w:cstheme="majorBidi"/>
        </w:rPr>
      </w:pPr>
    </w:p>
    <w:p w14:paraId="254510B0" w14:textId="77777777" w:rsidR="00612D3F" w:rsidRPr="008932A7" w:rsidRDefault="00612D3F">
      <w:pPr>
        <w:bidi w:val="0"/>
        <w:rPr>
          <w:rFonts w:asciiTheme="minorHAnsi" w:hAnsiTheme="minorHAnsi" w:cstheme="majorBidi"/>
          <w:b/>
          <w:bCs/>
          <w:lang w:eastAsia="zh-CN" w:bidi="ar-SA"/>
        </w:rPr>
      </w:pPr>
      <w:r w:rsidRPr="008932A7">
        <w:rPr>
          <w:rFonts w:asciiTheme="minorHAnsi" w:hAnsiTheme="minorHAnsi" w:cstheme="majorBidi"/>
        </w:rPr>
        <w:br w:type="page"/>
      </w:r>
    </w:p>
    <w:p w14:paraId="7541D2BB" w14:textId="2391D058" w:rsidR="0053542D" w:rsidRPr="008932A7" w:rsidRDefault="00134A53" w:rsidP="0053542D">
      <w:pPr>
        <w:pStyle w:val="1"/>
        <w:jc w:val="left"/>
        <w:rPr>
          <w:rFonts w:asciiTheme="minorHAnsi" w:hAnsiTheme="minorHAnsi" w:cstheme="majorBidi"/>
        </w:rPr>
      </w:pPr>
      <w:r w:rsidRPr="008932A7">
        <w:rPr>
          <w:rFonts w:asciiTheme="minorHAnsi" w:hAnsiTheme="minorHAnsi" w:cstheme="majorBidi"/>
          <w:noProof/>
          <w:lang w:eastAsia="en-US" w:bidi="he-IL"/>
        </w:rPr>
        <w:lastRenderedPageBreak/>
        <w:drawing>
          <wp:anchor distT="0" distB="0" distL="114300" distR="114300" simplePos="0" relativeHeight="251677696" behindDoc="0" locked="0" layoutInCell="1" allowOverlap="1" wp14:anchorId="6F961C60" wp14:editId="5DD0F97B">
            <wp:simplePos x="0" y="0"/>
            <wp:positionH relativeFrom="margin">
              <wp:align>center</wp:align>
            </wp:positionH>
            <wp:positionV relativeFrom="paragraph">
              <wp:posOffset>330200</wp:posOffset>
            </wp:positionV>
            <wp:extent cx="5806800" cy="2584098"/>
            <wp:effectExtent l="0" t="0" r="3810" b="6985"/>
            <wp:wrapSquare wrapText="bothSides"/>
            <wp:docPr id="14" name="תמונה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06800" cy="2584098"/>
                    </a:xfrm>
                    <a:prstGeom prst="rect">
                      <a:avLst/>
                    </a:prstGeom>
                    <a:noFill/>
                  </pic:spPr>
                </pic:pic>
              </a:graphicData>
            </a:graphic>
          </wp:anchor>
        </w:drawing>
      </w:r>
      <w:r w:rsidR="004F34CD" w:rsidRPr="008932A7">
        <w:rPr>
          <w:rFonts w:asciiTheme="minorHAnsi" w:hAnsiTheme="minorHAnsi" w:cstheme="majorBidi"/>
        </w:rPr>
        <w:t>3. The portfolio managed by institutional investors</w:t>
      </w:r>
      <w:r w:rsidR="00DF0119" w:rsidRPr="008932A7">
        <w:rPr>
          <w:rStyle w:val="a8"/>
          <w:rFonts w:asciiTheme="minorHAnsi" w:hAnsiTheme="minorHAnsi" w:cstheme="majorBidi"/>
        </w:rPr>
        <w:footnoteReference w:id="1"/>
      </w:r>
    </w:p>
    <w:p w14:paraId="2E90942B" w14:textId="27BBDDA6" w:rsidR="00612D3F" w:rsidRPr="008932A7" w:rsidRDefault="00612D3F" w:rsidP="00612D3F">
      <w:pPr>
        <w:bidi w:val="0"/>
        <w:spacing w:line="300" w:lineRule="exact"/>
        <w:jc w:val="both"/>
        <w:rPr>
          <w:rFonts w:asciiTheme="minorHAnsi" w:hAnsiTheme="minorHAnsi" w:cstheme="majorBidi"/>
        </w:rPr>
      </w:pPr>
    </w:p>
    <w:p w14:paraId="61E818DC" w14:textId="0ACEB66C" w:rsidR="0053439A" w:rsidRPr="008932A7" w:rsidRDefault="004F34CD" w:rsidP="002D746E">
      <w:pPr>
        <w:pStyle w:val="ab"/>
        <w:numPr>
          <w:ilvl w:val="0"/>
          <w:numId w:val="26"/>
        </w:numPr>
        <w:tabs>
          <w:tab w:val="left" w:pos="5670"/>
        </w:tabs>
        <w:bidi w:val="0"/>
        <w:spacing w:line="300" w:lineRule="exact"/>
        <w:jc w:val="both"/>
        <w:rPr>
          <w:rFonts w:asciiTheme="minorHAnsi" w:hAnsiTheme="minorHAnsi" w:cstheme="majorBidi"/>
        </w:rPr>
      </w:pPr>
      <w:r w:rsidRPr="008932A7">
        <w:rPr>
          <w:rFonts w:asciiTheme="minorHAnsi" w:hAnsiTheme="minorHAnsi" w:cstheme="majorBidi"/>
          <w:b/>
          <w:bCs/>
        </w:rPr>
        <w:t xml:space="preserve">The </w:t>
      </w:r>
      <w:r w:rsidR="006F52CC" w:rsidRPr="008932A7">
        <w:rPr>
          <w:rFonts w:asciiTheme="minorHAnsi" w:hAnsiTheme="minorHAnsi" w:cstheme="majorBidi"/>
          <w:b/>
          <w:bCs/>
        </w:rPr>
        <w:t>balance</w:t>
      </w:r>
      <w:r w:rsidRPr="008932A7">
        <w:rPr>
          <w:rFonts w:asciiTheme="minorHAnsi" w:hAnsiTheme="minorHAnsi" w:cstheme="majorBidi"/>
          <w:b/>
          <w:bCs/>
        </w:rPr>
        <w:t xml:space="preserve"> of asset</w:t>
      </w:r>
      <w:r w:rsidR="00A906B6" w:rsidRPr="008932A7">
        <w:rPr>
          <w:rFonts w:asciiTheme="minorHAnsi" w:hAnsiTheme="minorHAnsi" w:cstheme="majorBidi"/>
          <w:b/>
          <w:bCs/>
        </w:rPr>
        <w:t xml:space="preserve">s </w:t>
      </w:r>
      <w:r w:rsidRPr="008932A7">
        <w:rPr>
          <w:rFonts w:asciiTheme="minorHAnsi" w:hAnsiTheme="minorHAnsi" w:cstheme="majorBidi"/>
          <w:b/>
          <w:bCs/>
        </w:rPr>
        <w:t xml:space="preserve">managed by </w:t>
      </w:r>
      <w:r w:rsidR="00186701" w:rsidRPr="008932A7">
        <w:rPr>
          <w:rFonts w:asciiTheme="minorHAnsi" w:hAnsiTheme="minorHAnsi" w:cstheme="majorBidi"/>
          <w:b/>
          <w:bCs/>
        </w:rPr>
        <w:t xml:space="preserve">all </w:t>
      </w:r>
      <w:r w:rsidRPr="008932A7">
        <w:rPr>
          <w:rFonts w:asciiTheme="minorHAnsi" w:hAnsiTheme="minorHAnsi" w:cstheme="majorBidi"/>
          <w:b/>
          <w:bCs/>
        </w:rPr>
        <w:t>institutional investors</w:t>
      </w:r>
      <w:r w:rsidRPr="008932A7">
        <w:rPr>
          <w:rFonts w:asciiTheme="minorHAnsi" w:hAnsiTheme="minorHAnsi" w:cstheme="majorBidi"/>
        </w:rPr>
        <w:t xml:space="preserve"> </w:t>
      </w:r>
      <w:r w:rsidR="00211E5F" w:rsidRPr="008932A7">
        <w:rPr>
          <w:rFonts w:asciiTheme="minorHAnsi" w:hAnsiTheme="minorHAnsi" w:cstheme="majorBidi"/>
        </w:rPr>
        <w:t xml:space="preserve">increased </w:t>
      </w:r>
      <w:r w:rsidR="006A0C03" w:rsidRPr="008932A7">
        <w:rPr>
          <w:rFonts w:asciiTheme="minorHAnsi" w:hAnsiTheme="minorHAnsi" w:cstheme="majorBidi"/>
        </w:rPr>
        <w:t xml:space="preserve">in </w:t>
      </w:r>
      <w:r w:rsidR="00C8104F" w:rsidRPr="008932A7">
        <w:rPr>
          <w:rFonts w:asciiTheme="minorHAnsi" w:hAnsiTheme="minorHAnsi" w:cstheme="majorBidi"/>
        </w:rPr>
        <w:t xml:space="preserve">the </w:t>
      </w:r>
      <w:r w:rsidR="002D746E" w:rsidRPr="008932A7">
        <w:rPr>
          <w:rFonts w:asciiTheme="minorHAnsi" w:hAnsiTheme="minorHAnsi" w:cstheme="majorBidi"/>
        </w:rPr>
        <w:t>second</w:t>
      </w:r>
      <w:r w:rsidR="006B32D0" w:rsidRPr="008932A7">
        <w:rPr>
          <w:rFonts w:asciiTheme="minorHAnsi" w:hAnsiTheme="minorHAnsi" w:cstheme="majorBidi"/>
        </w:rPr>
        <w:t xml:space="preserve"> quarter</w:t>
      </w:r>
      <w:r w:rsidR="00850C5D" w:rsidRPr="008932A7">
        <w:rPr>
          <w:rFonts w:asciiTheme="minorHAnsi" w:hAnsiTheme="minorHAnsi" w:cstheme="majorBidi"/>
        </w:rPr>
        <w:t xml:space="preserve"> </w:t>
      </w:r>
      <w:r w:rsidR="0015326A" w:rsidRPr="008932A7">
        <w:rPr>
          <w:rFonts w:asciiTheme="minorHAnsi" w:hAnsiTheme="minorHAnsi" w:cstheme="majorBidi"/>
        </w:rPr>
        <w:t xml:space="preserve">by about NIS </w:t>
      </w:r>
      <w:r w:rsidR="002D746E" w:rsidRPr="008932A7">
        <w:rPr>
          <w:rFonts w:asciiTheme="minorHAnsi" w:hAnsiTheme="minorHAnsi" w:cstheme="majorBidi"/>
        </w:rPr>
        <w:t>4</w:t>
      </w:r>
      <w:r w:rsidR="000D63F7" w:rsidRPr="008932A7">
        <w:rPr>
          <w:rFonts w:asciiTheme="minorHAnsi" w:hAnsiTheme="minorHAnsi" w:cstheme="majorBidi"/>
        </w:rPr>
        <w:t>1</w:t>
      </w:r>
      <w:r w:rsidR="00211E5F" w:rsidRPr="008932A7">
        <w:rPr>
          <w:rFonts w:asciiTheme="minorHAnsi" w:hAnsiTheme="minorHAnsi" w:cstheme="majorBidi"/>
        </w:rPr>
        <w:t xml:space="preserve"> </w:t>
      </w:r>
      <w:r w:rsidR="001648C9" w:rsidRPr="008932A7">
        <w:rPr>
          <w:rFonts w:asciiTheme="minorHAnsi" w:hAnsiTheme="minorHAnsi" w:cstheme="majorBidi"/>
        </w:rPr>
        <w:t>billion</w:t>
      </w:r>
      <w:r w:rsidR="00CF4334" w:rsidRPr="008932A7">
        <w:rPr>
          <w:rFonts w:asciiTheme="minorHAnsi" w:hAnsiTheme="minorHAnsi" w:cstheme="majorBidi"/>
        </w:rPr>
        <w:t xml:space="preserve"> (</w:t>
      </w:r>
      <w:r w:rsidR="002D746E" w:rsidRPr="008932A7">
        <w:rPr>
          <w:rFonts w:asciiTheme="minorHAnsi" w:hAnsiTheme="minorHAnsi" w:cstheme="majorBidi"/>
        </w:rPr>
        <w:t>1.6</w:t>
      </w:r>
      <w:r w:rsidR="000D63F7" w:rsidRPr="008932A7">
        <w:rPr>
          <w:rFonts w:asciiTheme="minorHAnsi" w:hAnsiTheme="minorHAnsi" w:cstheme="majorBidi"/>
        </w:rPr>
        <w:t xml:space="preserve"> </w:t>
      </w:r>
      <w:r w:rsidR="00CF4334" w:rsidRPr="008932A7">
        <w:rPr>
          <w:rFonts w:asciiTheme="minorHAnsi" w:hAnsiTheme="minorHAnsi" w:cstheme="majorBidi"/>
        </w:rPr>
        <w:t>percent</w:t>
      </w:r>
      <w:r w:rsidR="00681F56" w:rsidRPr="008932A7">
        <w:rPr>
          <w:rFonts w:asciiTheme="minorHAnsi" w:hAnsiTheme="minorHAnsi" w:cstheme="majorBidi"/>
        </w:rPr>
        <w:t>)</w:t>
      </w:r>
      <w:r w:rsidR="008442B0" w:rsidRPr="008932A7">
        <w:rPr>
          <w:rFonts w:asciiTheme="minorHAnsi" w:hAnsiTheme="minorHAnsi" w:cstheme="majorBidi"/>
        </w:rPr>
        <w:t xml:space="preserve">, </w:t>
      </w:r>
      <w:r w:rsidR="0015326A" w:rsidRPr="008932A7">
        <w:rPr>
          <w:rFonts w:asciiTheme="minorHAnsi" w:hAnsiTheme="minorHAnsi" w:cstheme="majorBidi"/>
        </w:rPr>
        <w:t>to</w:t>
      </w:r>
      <w:r w:rsidR="002D746E" w:rsidRPr="008932A7">
        <w:rPr>
          <w:rFonts w:asciiTheme="minorHAnsi" w:hAnsiTheme="minorHAnsi" w:cstheme="majorBidi"/>
        </w:rPr>
        <w:t xml:space="preserve"> about</w:t>
      </w:r>
      <w:r w:rsidR="0015326A" w:rsidRPr="008932A7">
        <w:rPr>
          <w:rFonts w:asciiTheme="minorHAnsi" w:hAnsiTheme="minorHAnsi" w:cstheme="majorBidi"/>
        </w:rPr>
        <w:t xml:space="preserve"> NIS </w:t>
      </w:r>
      <w:r w:rsidR="00E24F21" w:rsidRPr="008932A7">
        <w:rPr>
          <w:rFonts w:asciiTheme="minorHAnsi" w:hAnsiTheme="minorHAnsi" w:cstheme="majorBidi"/>
        </w:rPr>
        <w:t>2.</w:t>
      </w:r>
      <w:r w:rsidR="00760E29" w:rsidRPr="008932A7">
        <w:rPr>
          <w:rFonts w:asciiTheme="minorHAnsi" w:hAnsiTheme="minorHAnsi" w:cstheme="majorBidi"/>
        </w:rPr>
        <w:t>6</w:t>
      </w:r>
      <w:r w:rsidR="002D746E" w:rsidRPr="008932A7">
        <w:rPr>
          <w:rFonts w:asciiTheme="minorHAnsi" w:hAnsiTheme="minorHAnsi" w:cstheme="majorBidi"/>
        </w:rPr>
        <w:t>6</w:t>
      </w:r>
      <w:r w:rsidR="008E0DEA" w:rsidRPr="008932A7">
        <w:rPr>
          <w:rFonts w:asciiTheme="minorHAnsi" w:hAnsiTheme="minorHAnsi" w:cstheme="majorBidi"/>
        </w:rPr>
        <w:t xml:space="preserve"> </w:t>
      </w:r>
      <w:r w:rsidR="0015326A" w:rsidRPr="008932A7">
        <w:rPr>
          <w:rFonts w:asciiTheme="minorHAnsi" w:hAnsiTheme="minorHAnsi" w:cstheme="majorBidi"/>
        </w:rPr>
        <w:t>trillion</w:t>
      </w:r>
      <w:r w:rsidR="008D2F94" w:rsidRPr="008932A7">
        <w:rPr>
          <w:rFonts w:asciiTheme="minorHAnsi" w:hAnsiTheme="minorHAnsi" w:cstheme="majorBidi"/>
        </w:rPr>
        <w:t xml:space="preserve"> (</w:t>
      </w:r>
      <w:r w:rsidR="00C66406" w:rsidRPr="008932A7">
        <w:rPr>
          <w:rFonts w:asciiTheme="minorHAnsi" w:hAnsiTheme="minorHAnsi" w:cstheme="majorBidi"/>
        </w:rPr>
        <w:t xml:space="preserve">approximately </w:t>
      </w:r>
      <w:r w:rsidR="008D2F94" w:rsidRPr="008932A7">
        <w:rPr>
          <w:rFonts w:asciiTheme="minorHAnsi" w:hAnsiTheme="minorHAnsi" w:cstheme="majorBidi"/>
        </w:rPr>
        <w:t>4</w:t>
      </w:r>
      <w:r w:rsidR="007521C1" w:rsidRPr="008932A7">
        <w:rPr>
          <w:rFonts w:asciiTheme="minorHAnsi" w:hAnsiTheme="minorHAnsi" w:cstheme="majorBidi"/>
        </w:rPr>
        <w:t>6</w:t>
      </w:r>
      <w:r w:rsidR="008D2F94" w:rsidRPr="008932A7">
        <w:rPr>
          <w:rFonts w:asciiTheme="minorHAnsi" w:hAnsiTheme="minorHAnsi" w:cstheme="majorBidi"/>
        </w:rPr>
        <w:t xml:space="preserve"> percent of the public’s </w:t>
      </w:r>
      <w:r w:rsidR="00E34ED5" w:rsidRPr="008932A7">
        <w:rPr>
          <w:rFonts w:asciiTheme="minorHAnsi" w:hAnsiTheme="minorHAnsi" w:cstheme="majorBidi"/>
        </w:rPr>
        <w:t xml:space="preserve">total </w:t>
      </w:r>
      <w:r w:rsidR="008D2F94" w:rsidRPr="008932A7">
        <w:rPr>
          <w:rFonts w:asciiTheme="minorHAnsi" w:hAnsiTheme="minorHAnsi" w:cstheme="majorBidi"/>
        </w:rPr>
        <w:t>financial assets portfolio)</w:t>
      </w:r>
      <w:r w:rsidR="00E24F21" w:rsidRPr="008932A7">
        <w:rPr>
          <w:rFonts w:asciiTheme="minorHAnsi" w:hAnsiTheme="minorHAnsi" w:cstheme="majorBidi"/>
        </w:rPr>
        <w:t>.</w:t>
      </w:r>
      <w:r w:rsidR="008D2F94" w:rsidRPr="008932A7">
        <w:rPr>
          <w:rFonts w:asciiTheme="minorHAnsi" w:hAnsiTheme="minorHAnsi" w:cstheme="majorBidi"/>
        </w:rPr>
        <w:t xml:space="preserve"> </w:t>
      </w:r>
      <w:r w:rsidR="00FF72BA" w:rsidRPr="008932A7">
        <w:rPr>
          <w:rFonts w:asciiTheme="minorHAnsi" w:hAnsiTheme="minorHAnsi" w:cstheme="majorBidi"/>
        </w:rPr>
        <w:t xml:space="preserve">The </w:t>
      </w:r>
      <w:r w:rsidR="007521C1" w:rsidRPr="008932A7">
        <w:rPr>
          <w:rFonts w:asciiTheme="minorHAnsi" w:hAnsiTheme="minorHAnsi" w:cstheme="majorBidi"/>
        </w:rPr>
        <w:t>increase</w:t>
      </w:r>
      <w:r w:rsidR="007519F5" w:rsidRPr="008932A7">
        <w:rPr>
          <w:rFonts w:asciiTheme="minorHAnsi" w:hAnsiTheme="minorHAnsi" w:cstheme="majorBidi"/>
        </w:rPr>
        <w:t xml:space="preserve"> in the </w:t>
      </w:r>
      <w:r w:rsidR="00CB0861" w:rsidRPr="008932A7">
        <w:rPr>
          <w:rFonts w:asciiTheme="minorHAnsi" w:hAnsiTheme="minorHAnsi" w:cstheme="majorBidi"/>
        </w:rPr>
        <w:t xml:space="preserve">balance </w:t>
      </w:r>
      <w:r w:rsidR="00E542C6" w:rsidRPr="008932A7">
        <w:rPr>
          <w:rFonts w:asciiTheme="minorHAnsi" w:hAnsiTheme="minorHAnsi" w:cstheme="majorBidi"/>
        </w:rPr>
        <w:t>was reflected in all institutional investors, except for the veteran pension funds</w:t>
      </w:r>
      <w:r w:rsidR="002D746E" w:rsidRPr="008932A7">
        <w:rPr>
          <w:rFonts w:asciiTheme="minorHAnsi" w:hAnsiTheme="minorHAnsi" w:cstheme="majorBidi"/>
        </w:rPr>
        <w:t xml:space="preserve"> and profit-sharing insurance policies</w:t>
      </w:r>
      <w:r w:rsidR="00E542C6" w:rsidRPr="008932A7">
        <w:rPr>
          <w:rFonts w:asciiTheme="minorHAnsi" w:hAnsiTheme="minorHAnsi" w:cstheme="majorBidi"/>
        </w:rPr>
        <w:t xml:space="preserve">. The increase in the balance of the managed portfolio during the quarter </w:t>
      </w:r>
      <w:r w:rsidR="002D746E" w:rsidRPr="008932A7">
        <w:rPr>
          <w:rFonts w:asciiTheme="minorHAnsi" w:hAnsiTheme="minorHAnsi" w:cstheme="majorBidi"/>
        </w:rPr>
        <w:t>was</w:t>
      </w:r>
      <w:r w:rsidR="00E542C6" w:rsidRPr="008932A7">
        <w:rPr>
          <w:rFonts w:asciiTheme="minorHAnsi" w:hAnsiTheme="minorHAnsi" w:cstheme="majorBidi"/>
        </w:rPr>
        <w:t xml:space="preserve"> mainly </w:t>
      </w:r>
      <w:r w:rsidR="002D746E" w:rsidRPr="008932A7">
        <w:rPr>
          <w:rFonts w:asciiTheme="minorHAnsi" w:hAnsiTheme="minorHAnsi" w:cstheme="majorBidi"/>
        </w:rPr>
        <w:t xml:space="preserve">due to </w:t>
      </w:r>
      <w:r w:rsidR="00E542C6" w:rsidRPr="008932A7">
        <w:rPr>
          <w:rFonts w:asciiTheme="minorHAnsi" w:hAnsiTheme="minorHAnsi" w:cstheme="majorBidi"/>
        </w:rPr>
        <w:t>price increases in the global equity</w:t>
      </w:r>
      <w:r w:rsidR="006418CA" w:rsidRPr="008932A7">
        <w:rPr>
          <w:rFonts w:asciiTheme="minorHAnsi" w:hAnsiTheme="minorHAnsi" w:cstheme="majorBidi"/>
        </w:rPr>
        <w:t xml:space="preserve"> markets</w:t>
      </w:r>
      <w:r w:rsidR="00E542C6" w:rsidRPr="008932A7">
        <w:rPr>
          <w:rFonts w:asciiTheme="minorHAnsi" w:hAnsiTheme="minorHAnsi" w:cstheme="majorBidi"/>
        </w:rPr>
        <w:t xml:space="preserve">, </w:t>
      </w:r>
      <w:r w:rsidR="006418CA" w:rsidRPr="008932A7">
        <w:rPr>
          <w:rFonts w:asciiTheme="minorHAnsi" w:hAnsiTheme="minorHAnsi" w:cstheme="majorBidi"/>
        </w:rPr>
        <w:t xml:space="preserve">and was reflected in the following components: </w:t>
      </w:r>
      <w:r w:rsidR="002D746E" w:rsidRPr="008932A7">
        <w:rPr>
          <w:rFonts w:asciiTheme="minorHAnsi" w:hAnsiTheme="minorHAnsi" w:cstheme="majorBidi"/>
        </w:rPr>
        <w:t xml:space="preserve">investment funds abroad—an increase of about NIS 12 billion (5.4 percent), mainly in hedge funds; </w:t>
      </w:r>
      <w:r w:rsidR="006418CA" w:rsidRPr="008932A7">
        <w:rPr>
          <w:rFonts w:asciiTheme="minorHAnsi" w:hAnsiTheme="minorHAnsi" w:cstheme="majorBidi"/>
        </w:rPr>
        <w:t>ETFs abroad that track equity indices—an increase of about NIS 1</w:t>
      </w:r>
      <w:r w:rsidR="002D746E" w:rsidRPr="008932A7">
        <w:rPr>
          <w:rFonts w:asciiTheme="minorHAnsi" w:hAnsiTheme="minorHAnsi" w:cstheme="majorBidi"/>
        </w:rPr>
        <w:t>1</w:t>
      </w:r>
      <w:r w:rsidR="006418CA" w:rsidRPr="008932A7">
        <w:rPr>
          <w:rFonts w:asciiTheme="minorHAnsi" w:hAnsiTheme="minorHAnsi" w:cstheme="majorBidi"/>
        </w:rPr>
        <w:t xml:space="preserve"> billion (</w:t>
      </w:r>
      <w:r w:rsidR="002D746E" w:rsidRPr="008932A7">
        <w:rPr>
          <w:rFonts w:asciiTheme="minorHAnsi" w:hAnsiTheme="minorHAnsi" w:cstheme="majorBidi"/>
        </w:rPr>
        <w:t>5.8</w:t>
      </w:r>
      <w:r w:rsidR="006418CA" w:rsidRPr="008932A7">
        <w:rPr>
          <w:rFonts w:asciiTheme="minorHAnsi" w:hAnsiTheme="minorHAnsi" w:cstheme="majorBidi"/>
        </w:rPr>
        <w:t xml:space="preserve"> percent), mainly in view of price increases; </w:t>
      </w:r>
      <w:r w:rsidR="002D746E" w:rsidRPr="008932A7">
        <w:rPr>
          <w:rFonts w:asciiTheme="minorHAnsi" w:hAnsiTheme="minorHAnsi" w:cstheme="majorBidi"/>
        </w:rPr>
        <w:t xml:space="preserve">government bonds and </w:t>
      </w:r>
      <w:r w:rsidR="002D746E" w:rsidRPr="008932A7">
        <w:rPr>
          <w:rFonts w:asciiTheme="minorHAnsi" w:hAnsiTheme="minorHAnsi" w:cstheme="majorBidi"/>
          <w:i/>
          <w:iCs/>
        </w:rPr>
        <w:t>Makam—</w:t>
      </w:r>
      <w:r w:rsidR="002D746E" w:rsidRPr="008932A7">
        <w:rPr>
          <w:rFonts w:asciiTheme="minorHAnsi" w:hAnsiTheme="minorHAnsi" w:cstheme="majorBidi"/>
        </w:rPr>
        <w:t xml:space="preserve">an increase of about NIS 9.7 billion (1.2 percent); </w:t>
      </w:r>
      <w:r w:rsidR="006418CA" w:rsidRPr="008932A7">
        <w:rPr>
          <w:rFonts w:asciiTheme="minorHAnsi" w:hAnsiTheme="minorHAnsi" w:cstheme="majorBidi"/>
        </w:rPr>
        <w:t>e</w:t>
      </w:r>
      <w:r w:rsidR="00E542C6" w:rsidRPr="008932A7">
        <w:rPr>
          <w:rFonts w:asciiTheme="minorHAnsi" w:hAnsiTheme="minorHAnsi" w:cstheme="majorBidi"/>
        </w:rPr>
        <w:t>quities abroad</w:t>
      </w:r>
      <w:r w:rsidR="002D746E" w:rsidRPr="008932A7">
        <w:rPr>
          <w:rFonts w:asciiTheme="minorHAnsi" w:hAnsiTheme="minorHAnsi" w:cstheme="majorBidi"/>
        </w:rPr>
        <w:t>—</w:t>
      </w:r>
      <w:r w:rsidR="00E542C6" w:rsidRPr="008932A7">
        <w:rPr>
          <w:rFonts w:asciiTheme="minorHAnsi" w:hAnsiTheme="minorHAnsi" w:cstheme="majorBidi"/>
        </w:rPr>
        <w:t xml:space="preserve">an increase of </w:t>
      </w:r>
      <w:r w:rsidR="002D746E" w:rsidRPr="008932A7">
        <w:rPr>
          <w:rFonts w:asciiTheme="minorHAnsi" w:hAnsiTheme="minorHAnsi" w:cstheme="majorBidi"/>
        </w:rPr>
        <w:t xml:space="preserve">about </w:t>
      </w:r>
      <w:r w:rsidR="00E542C6" w:rsidRPr="008932A7">
        <w:rPr>
          <w:rFonts w:asciiTheme="minorHAnsi" w:hAnsiTheme="minorHAnsi" w:cstheme="majorBidi"/>
        </w:rPr>
        <w:t>NIS 8 billion (</w:t>
      </w:r>
      <w:r w:rsidR="002D746E" w:rsidRPr="008932A7">
        <w:rPr>
          <w:rFonts w:asciiTheme="minorHAnsi" w:hAnsiTheme="minorHAnsi" w:cstheme="majorBidi"/>
        </w:rPr>
        <w:t>5</w:t>
      </w:r>
      <w:r w:rsidR="00E542C6" w:rsidRPr="008932A7">
        <w:rPr>
          <w:rFonts w:asciiTheme="minorHAnsi" w:hAnsiTheme="minorHAnsi" w:cstheme="majorBidi"/>
        </w:rPr>
        <w:t xml:space="preserve"> percent), mainly in view of price increases; equities in Israel</w:t>
      </w:r>
      <w:r w:rsidR="002D746E" w:rsidRPr="008932A7">
        <w:rPr>
          <w:rFonts w:asciiTheme="minorHAnsi" w:hAnsiTheme="minorHAnsi" w:cstheme="majorBidi"/>
        </w:rPr>
        <w:t>—</w:t>
      </w:r>
      <w:r w:rsidR="0053439A" w:rsidRPr="008932A7">
        <w:rPr>
          <w:rFonts w:asciiTheme="minorHAnsi" w:hAnsiTheme="minorHAnsi" w:cstheme="majorBidi"/>
        </w:rPr>
        <w:t xml:space="preserve">a </w:t>
      </w:r>
      <w:r w:rsidR="002D746E" w:rsidRPr="008932A7">
        <w:rPr>
          <w:rFonts w:asciiTheme="minorHAnsi" w:hAnsiTheme="minorHAnsi" w:cstheme="majorBidi"/>
        </w:rPr>
        <w:t>decline</w:t>
      </w:r>
      <w:r w:rsidR="0053439A" w:rsidRPr="008932A7">
        <w:rPr>
          <w:rFonts w:asciiTheme="minorHAnsi" w:hAnsiTheme="minorHAnsi" w:cstheme="majorBidi"/>
        </w:rPr>
        <w:t xml:space="preserve"> of </w:t>
      </w:r>
      <w:r w:rsidR="002D746E" w:rsidRPr="008932A7">
        <w:rPr>
          <w:rFonts w:asciiTheme="minorHAnsi" w:hAnsiTheme="minorHAnsi" w:cstheme="majorBidi"/>
        </w:rPr>
        <w:t xml:space="preserve">about </w:t>
      </w:r>
      <w:r w:rsidR="0053439A" w:rsidRPr="008932A7">
        <w:rPr>
          <w:rFonts w:asciiTheme="minorHAnsi" w:hAnsiTheme="minorHAnsi" w:cstheme="majorBidi"/>
        </w:rPr>
        <w:t xml:space="preserve">NIS </w:t>
      </w:r>
      <w:r w:rsidR="002D746E" w:rsidRPr="008932A7">
        <w:rPr>
          <w:rFonts w:asciiTheme="minorHAnsi" w:hAnsiTheme="minorHAnsi" w:cstheme="majorBidi"/>
        </w:rPr>
        <w:t>23.2</w:t>
      </w:r>
      <w:r w:rsidR="0053439A" w:rsidRPr="008932A7">
        <w:rPr>
          <w:rFonts w:asciiTheme="minorHAnsi" w:hAnsiTheme="minorHAnsi" w:cstheme="majorBidi"/>
        </w:rPr>
        <w:t xml:space="preserve"> billion (</w:t>
      </w:r>
      <w:r w:rsidR="002D746E" w:rsidRPr="008932A7">
        <w:rPr>
          <w:rFonts w:asciiTheme="minorHAnsi" w:hAnsiTheme="minorHAnsi" w:cstheme="majorBidi"/>
        </w:rPr>
        <w:t>9.6</w:t>
      </w:r>
      <w:r w:rsidR="0053439A" w:rsidRPr="008932A7">
        <w:rPr>
          <w:rFonts w:asciiTheme="minorHAnsi" w:hAnsiTheme="minorHAnsi" w:cstheme="majorBidi"/>
        </w:rPr>
        <w:t xml:space="preserve"> percent), mainly in view of price </w:t>
      </w:r>
      <w:r w:rsidR="002D746E" w:rsidRPr="008932A7">
        <w:rPr>
          <w:rFonts w:asciiTheme="minorHAnsi" w:hAnsiTheme="minorHAnsi" w:cstheme="majorBidi"/>
        </w:rPr>
        <w:t>declines and net realizations</w:t>
      </w:r>
      <w:r w:rsidR="0053439A" w:rsidRPr="008932A7">
        <w:rPr>
          <w:rFonts w:asciiTheme="minorHAnsi" w:hAnsiTheme="minorHAnsi" w:cstheme="majorBidi"/>
        </w:rPr>
        <w:t xml:space="preserve">; </w:t>
      </w:r>
      <w:r w:rsidR="00E542C6" w:rsidRPr="008932A7">
        <w:rPr>
          <w:rFonts w:asciiTheme="minorHAnsi" w:hAnsiTheme="minorHAnsi" w:cstheme="majorBidi"/>
        </w:rPr>
        <w:t xml:space="preserve"> </w:t>
      </w:r>
      <w:r w:rsidR="002D746E" w:rsidRPr="008932A7">
        <w:rPr>
          <w:rFonts w:asciiTheme="minorHAnsi" w:hAnsiTheme="minorHAnsi" w:cstheme="majorBidi"/>
        </w:rPr>
        <w:t>corporate bonds in Israel—a decline of about NIS 10.3 billion (5.4 percent), mainly in view of price declines and net redemptions</w:t>
      </w:r>
      <w:r w:rsidR="0053439A" w:rsidRPr="008932A7">
        <w:rPr>
          <w:rFonts w:asciiTheme="minorHAnsi" w:hAnsiTheme="minorHAnsi" w:cstheme="majorBidi"/>
        </w:rPr>
        <w:t>.</w:t>
      </w:r>
      <w:r w:rsidR="006418CA" w:rsidRPr="008932A7">
        <w:rPr>
          <w:rFonts w:asciiTheme="minorHAnsi" w:hAnsiTheme="minorHAnsi" w:cstheme="majorBidi"/>
        </w:rPr>
        <w:t xml:space="preserve"> </w:t>
      </w:r>
    </w:p>
    <w:p w14:paraId="7725247A" w14:textId="77777777" w:rsidR="006418CA" w:rsidRPr="008932A7" w:rsidRDefault="006418CA" w:rsidP="006418CA">
      <w:pPr>
        <w:pStyle w:val="ab"/>
        <w:tabs>
          <w:tab w:val="left" w:pos="5670"/>
        </w:tabs>
        <w:bidi w:val="0"/>
        <w:spacing w:line="300" w:lineRule="exact"/>
        <w:ind w:left="360"/>
        <w:jc w:val="both"/>
        <w:rPr>
          <w:rFonts w:asciiTheme="minorHAnsi" w:hAnsiTheme="minorHAnsi" w:cstheme="majorBidi"/>
        </w:rPr>
      </w:pPr>
    </w:p>
    <w:p w14:paraId="75802A2B" w14:textId="234A99EE" w:rsidR="004A407B" w:rsidRPr="008932A7" w:rsidRDefault="004A407B" w:rsidP="001C09C8">
      <w:pPr>
        <w:pStyle w:val="ab"/>
        <w:numPr>
          <w:ilvl w:val="0"/>
          <w:numId w:val="25"/>
        </w:numPr>
        <w:bidi w:val="0"/>
        <w:spacing w:line="300" w:lineRule="exact"/>
        <w:jc w:val="both"/>
        <w:rPr>
          <w:rFonts w:asciiTheme="minorHAnsi" w:hAnsiTheme="minorHAnsi" w:cstheme="majorBidi"/>
        </w:rPr>
      </w:pPr>
      <w:r w:rsidRPr="008932A7">
        <w:rPr>
          <w:rFonts w:asciiTheme="minorHAnsi" w:hAnsiTheme="minorHAnsi" w:cstheme="majorBidi"/>
          <w:b/>
          <w:bCs/>
        </w:rPr>
        <w:t>Exposure</w:t>
      </w:r>
      <w:r w:rsidR="00240F5E" w:rsidRPr="008932A7">
        <w:rPr>
          <w:rFonts w:asciiTheme="minorHAnsi" w:hAnsiTheme="minorHAnsi" w:cstheme="majorBidi"/>
          <w:b/>
          <w:bCs/>
        </w:rPr>
        <w:t xml:space="preserve"> of the portfolio managed by institutional investors</w:t>
      </w:r>
      <w:r w:rsidRPr="008932A7">
        <w:rPr>
          <w:rStyle w:val="a8"/>
          <w:rFonts w:asciiTheme="minorHAnsi" w:hAnsiTheme="minorHAnsi" w:cstheme="majorBidi"/>
          <w:b/>
          <w:bCs/>
        </w:rPr>
        <w:footnoteReference w:id="2"/>
      </w:r>
      <w:r w:rsidRPr="008932A7">
        <w:rPr>
          <w:rFonts w:asciiTheme="minorHAnsi" w:hAnsiTheme="minorHAnsi" w:cstheme="majorBidi"/>
          <w:b/>
          <w:bCs/>
        </w:rPr>
        <w:t xml:space="preserve"> to foreign assets</w:t>
      </w:r>
      <w:r w:rsidR="00E04B4A" w:rsidRPr="008932A7">
        <w:rPr>
          <w:rFonts w:asciiTheme="minorHAnsi" w:hAnsiTheme="minorHAnsi" w:cstheme="majorBidi"/>
          <w:b/>
          <w:bCs/>
        </w:rPr>
        <w:t xml:space="preserve"> and to foreign currency</w:t>
      </w:r>
    </w:p>
    <w:p w14:paraId="50DEA6A3" w14:textId="5AA90D94" w:rsidR="004A407B" w:rsidRPr="008932A7" w:rsidRDefault="004A407B" w:rsidP="007E422E">
      <w:pPr>
        <w:bidi w:val="0"/>
        <w:spacing w:line="300" w:lineRule="exact"/>
        <w:jc w:val="both"/>
        <w:rPr>
          <w:rFonts w:asciiTheme="minorHAnsi" w:hAnsiTheme="minorHAnsi" w:cstheme="majorBidi"/>
        </w:rPr>
      </w:pPr>
    </w:p>
    <w:p w14:paraId="49AE2C76" w14:textId="4D4076CD" w:rsidR="00FF72BA" w:rsidRPr="008932A7" w:rsidRDefault="00EB7E20" w:rsidP="000B5559">
      <w:pPr>
        <w:bidi w:val="0"/>
        <w:spacing w:line="300" w:lineRule="exact"/>
        <w:ind w:left="426"/>
        <w:jc w:val="both"/>
        <w:rPr>
          <w:rFonts w:asciiTheme="minorHAnsi" w:hAnsiTheme="minorHAnsi" w:cstheme="majorBidi"/>
        </w:rPr>
      </w:pPr>
      <w:r w:rsidRPr="008932A7">
        <w:rPr>
          <w:rFonts w:asciiTheme="minorHAnsi" w:hAnsiTheme="minorHAnsi" w:cstheme="majorBidi"/>
        </w:rPr>
        <w:t xml:space="preserve">In the </w:t>
      </w:r>
      <w:r w:rsidR="000B5559" w:rsidRPr="008932A7">
        <w:rPr>
          <w:rFonts w:asciiTheme="minorHAnsi" w:hAnsiTheme="minorHAnsi" w:cstheme="majorBidi"/>
        </w:rPr>
        <w:t>second</w:t>
      </w:r>
      <w:r w:rsidR="006B32D0" w:rsidRPr="008932A7">
        <w:rPr>
          <w:rFonts w:asciiTheme="minorHAnsi" w:hAnsiTheme="minorHAnsi" w:cstheme="majorBidi"/>
        </w:rPr>
        <w:t xml:space="preserve"> quarter</w:t>
      </w:r>
      <w:r w:rsidRPr="008932A7">
        <w:rPr>
          <w:rFonts w:asciiTheme="minorHAnsi" w:hAnsiTheme="minorHAnsi" w:cstheme="majorBidi"/>
        </w:rPr>
        <w:t xml:space="preserve"> of </w:t>
      </w:r>
      <w:r w:rsidR="003316A5" w:rsidRPr="008932A7">
        <w:rPr>
          <w:rFonts w:asciiTheme="minorHAnsi" w:hAnsiTheme="minorHAnsi" w:cstheme="majorBidi"/>
        </w:rPr>
        <w:t>2024</w:t>
      </w:r>
      <w:r w:rsidRPr="008932A7">
        <w:rPr>
          <w:rFonts w:asciiTheme="minorHAnsi" w:hAnsiTheme="minorHAnsi" w:cstheme="majorBidi"/>
        </w:rPr>
        <w:t xml:space="preserve">, </w:t>
      </w:r>
      <w:r w:rsidR="00CB0861" w:rsidRPr="008932A7">
        <w:rPr>
          <w:rFonts w:asciiTheme="minorHAnsi" w:hAnsiTheme="minorHAnsi" w:cstheme="majorBidi"/>
        </w:rPr>
        <w:t xml:space="preserve">the </w:t>
      </w:r>
      <w:r w:rsidR="000B5559" w:rsidRPr="008932A7">
        <w:rPr>
          <w:rFonts w:asciiTheme="minorHAnsi" w:hAnsiTheme="minorHAnsi" w:cstheme="majorBidi"/>
        </w:rPr>
        <w:t>rate</w:t>
      </w:r>
      <w:r w:rsidR="007519F5" w:rsidRPr="008932A7">
        <w:rPr>
          <w:rFonts w:asciiTheme="minorHAnsi" w:hAnsiTheme="minorHAnsi" w:cstheme="majorBidi"/>
        </w:rPr>
        <w:t xml:space="preserve"> </w:t>
      </w:r>
      <w:r w:rsidR="00CB0861" w:rsidRPr="008932A7">
        <w:rPr>
          <w:rFonts w:asciiTheme="minorHAnsi" w:hAnsiTheme="minorHAnsi" w:cstheme="majorBidi"/>
        </w:rPr>
        <w:t xml:space="preserve">of </w:t>
      </w:r>
      <w:r w:rsidRPr="008932A7">
        <w:rPr>
          <w:rFonts w:asciiTheme="minorHAnsi" w:hAnsiTheme="minorHAnsi" w:cstheme="majorBidi"/>
        </w:rPr>
        <w:t>institutional investors</w:t>
      </w:r>
      <w:r w:rsidR="00CB0861" w:rsidRPr="008932A7">
        <w:rPr>
          <w:rFonts w:asciiTheme="minorHAnsi" w:hAnsiTheme="minorHAnsi" w:cstheme="majorBidi"/>
        </w:rPr>
        <w:t>’</w:t>
      </w:r>
      <w:r w:rsidR="00D15E31" w:rsidRPr="008932A7">
        <w:rPr>
          <w:rFonts w:asciiTheme="minorHAnsi" w:hAnsiTheme="minorHAnsi" w:cstheme="majorBidi"/>
        </w:rPr>
        <w:t xml:space="preserve"> </w:t>
      </w:r>
      <w:r w:rsidRPr="008932A7">
        <w:rPr>
          <w:rFonts w:asciiTheme="minorHAnsi" w:hAnsiTheme="minorHAnsi" w:cstheme="majorBidi"/>
        </w:rPr>
        <w:t>exposure to assets</w:t>
      </w:r>
      <w:r w:rsidR="00CB0861" w:rsidRPr="008932A7">
        <w:rPr>
          <w:rFonts w:asciiTheme="minorHAnsi" w:hAnsiTheme="minorHAnsi" w:cstheme="majorBidi"/>
        </w:rPr>
        <w:t xml:space="preserve"> </w:t>
      </w:r>
      <w:r w:rsidR="007519F5" w:rsidRPr="008932A7">
        <w:rPr>
          <w:rFonts w:asciiTheme="minorHAnsi" w:hAnsiTheme="minorHAnsi" w:cstheme="majorBidi"/>
        </w:rPr>
        <w:t xml:space="preserve">abroad increased </w:t>
      </w:r>
      <w:r w:rsidR="00B46EB5" w:rsidRPr="008932A7">
        <w:rPr>
          <w:rFonts w:asciiTheme="minorHAnsi" w:hAnsiTheme="minorHAnsi" w:cstheme="majorBidi"/>
        </w:rPr>
        <w:t xml:space="preserve">by about </w:t>
      </w:r>
      <w:r w:rsidR="000B5559" w:rsidRPr="008932A7">
        <w:rPr>
          <w:rFonts w:asciiTheme="minorHAnsi" w:hAnsiTheme="minorHAnsi" w:cstheme="majorBidi"/>
        </w:rPr>
        <w:t>2.3</w:t>
      </w:r>
      <w:r w:rsidR="007519F5" w:rsidRPr="008932A7">
        <w:rPr>
          <w:rFonts w:asciiTheme="minorHAnsi" w:hAnsiTheme="minorHAnsi" w:cstheme="majorBidi"/>
        </w:rPr>
        <w:t xml:space="preserve"> </w:t>
      </w:r>
      <w:r w:rsidR="00B46EB5" w:rsidRPr="008932A7">
        <w:rPr>
          <w:rFonts w:asciiTheme="minorHAnsi" w:hAnsiTheme="minorHAnsi" w:cstheme="majorBidi"/>
        </w:rPr>
        <w:t>percentage points</w:t>
      </w:r>
      <w:r w:rsidR="00D15E31" w:rsidRPr="008932A7">
        <w:rPr>
          <w:rFonts w:asciiTheme="minorHAnsi" w:hAnsiTheme="minorHAnsi" w:cstheme="majorBidi"/>
        </w:rPr>
        <w:t>,</w:t>
      </w:r>
      <w:r w:rsidR="00B46EB5" w:rsidRPr="008932A7">
        <w:rPr>
          <w:rFonts w:asciiTheme="minorHAnsi" w:hAnsiTheme="minorHAnsi" w:cstheme="majorBidi"/>
        </w:rPr>
        <w:t xml:space="preserve"> to </w:t>
      </w:r>
      <w:r w:rsidR="00C66406" w:rsidRPr="008932A7">
        <w:rPr>
          <w:rFonts w:asciiTheme="minorHAnsi" w:hAnsiTheme="minorHAnsi" w:cstheme="majorBidi"/>
        </w:rPr>
        <w:t xml:space="preserve">approximately </w:t>
      </w:r>
      <w:r w:rsidR="007D054E" w:rsidRPr="008932A7">
        <w:rPr>
          <w:rFonts w:asciiTheme="minorHAnsi" w:hAnsiTheme="minorHAnsi" w:cstheme="majorBidi"/>
        </w:rPr>
        <w:t xml:space="preserve">47 </w:t>
      </w:r>
      <w:r w:rsidR="00BB5A5B" w:rsidRPr="008932A7">
        <w:rPr>
          <w:rFonts w:asciiTheme="minorHAnsi" w:hAnsiTheme="minorHAnsi" w:cstheme="majorBidi"/>
        </w:rPr>
        <w:t xml:space="preserve">percent </w:t>
      </w:r>
      <w:r w:rsidR="00B46EB5" w:rsidRPr="008932A7">
        <w:rPr>
          <w:rFonts w:asciiTheme="minorHAnsi" w:hAnsiTheme="minorHAnsi" w:cstheme="majorBidi"/>
        </w:rPr>
        <w:t xml:space="preserve">of </w:t>
      </w:r>
      <w:r w:rsidR="007E404C" w:rsidRPr="008932A7">
        <w:rPr>
          <w:rFonts w:asciiTheme="minorHAnsi" w:hAnsiTheme="minorHAnsi" w:cstheme="majorBidi"/>
        </w:rPr>
        <w:t>total assets</w:t>
      </w:r>
      <w:r w:rsidR="00300932" w:rsidRPr="008932A7">
        <w:rPr>
          <w:rFonts w:asciiTheme="minorHAnsi" w:hAnsiTheme="minorHAnsi" w:cstheme="majorBidi"/>
        </w:rPr>
        <w:t xml:space="preserve">. This </w:t>
      </w:r>
      <w:r w:rsidR="00A30F43" w:rsidRPr="008932A7">
        <w:rPr>
          <w:rFonts w:asciiTheme="minorHAnsi" w:hAnsiTheme="minorHAnsi" w:cstheme="majorBidi"/>
        </w:rPr>
        <w:t xml:space="preserve">was </w:t>
      </w:r>
      <w:r w:rsidR="00D8221C" w:rsidRPr="008932A7">
        <w:rPr>
          <w:rFonts w:asciiTheme="minorHAnsi" w:hAnsiTheme="minorHAnsi" w:cstheme="majorBidi"/>
        </w:rPr>
        <w:t xml:space="preserve">a result of </w:t>
      </w:r>
      <w:r w:rsidR="007519F5" w:rsidRPr="008932A7">
        <w:rPr>
          <w:rFonts w:asciiTheme="minorHAnsi" w:hAnsiTheme="minorHAnsi" w:cstheme="majorBidi"/>
        </w:rPr>
        <w:t xml:space="preserve">an increase </w:t>
      </w:r>
      <w:r w:rsidR="00C14D26" w:rsidRPr="008932A7">
        <w:rPr>
          <w:rFonts w:asciiTheme="minorHAnsi" w:hAnsiTheme="minorHAnsi" w:cstheme="majorBidi"/>
        </w:rPr>
        <w:t xml:space="preserve">in the </w:t>
      </w:r>
      <w:r w:rsidR="00FF72BA" w:rsidRPr="008932A7">
        <w:rPr>
          <w:rFonts w:asciiTheme="minorHAnsi" w:hAnsiTheme="minorHAnsi" w:cstheme="majorBidi"/>
        </w:rPr>
        <w:t>balance of</w:t>
      </w:r>
      <w:r w:rsidR="00D8221C" w:rsidRPr="008932A7">
        <w:rPr>
          <w:rFonts w:asciiTheme="minorHAnsi" w:hAnsiTheme="minorHAnsi" w:cstheme="majorBidi"/>
        </w:rPr>
        <w:t xml:space="preserve"> </w:t>
      </w:r>
      <w:r w:rsidR="00A4505C" w:rsidRPr="008932A7">
        <w:rPr>
          <w:rFonts w:asciiTheme="minorHAnsi" w:hAnsiTheme="minorHAnsi" w:cstheme="majorBidi"/>
        </w:rPr>
        <w:t xml:space="preserve">exposure to foreign assets </w:t>
      </w:r>
      <w:r w:rsidR="00D52DB8" w:rsidRPr="008932A7">
        <w:rPr>
          <w:rFonts w:asciiTheme="minorHAnsi" w:hAnsiTheme="minorHAnsi" w:cstheme="majorBidi"/>
        </w:rPr>
        <w:t>(</w:t>
      </w:r>
      <w:r w:rsidR="000B5559" w:rsidRPr="008932A7">
        <w:rPr>
          <w:rFonts w:asciiTheme="minorHAnsi" w:hAnsiTheme="minorHAnsi" w:cstheme="majorBidi"/>
        </w:rPr>
        <w:t>4.4</w:t>
      </w:r>
      <w:r w:rsidR="007D054E" w:rsidRPr="008932A7">
        <w:rPr>
          <w:rFonts w:asciiTheme="minorHAnsi" w:hAnsiTheme="minorHAnsi" w:cstheme="majorBidi"/>
        </w:rPr>
        <w:t xml:space="preserve"> </w:t>
      </w:r>
      <w:r w:rsidR="00D52DB8" w:rsidRPr="008932A7">
        <w:rPr>
          <w:rFonts w:asciiTheme="minorHAnsi" w:hAnsiTheme="minorHAnsi" w:cstheme="majorBidi"/>
        </w:rPr>
        <w:t xml:space="preserve">percent) </w:t>
      </w:r>
      <w:r w:rsidR="000B5559" w:rsidRPr="008932A7">
        <w:rPr>
          <w:rFonts w:asciiTheme="minorHAnsi" w:hAnsiTheme="minorHAnsi" w:cstheme="majorBidi"/>
        </w:rPr>
        <w:t>and a decline</w:t>
      </w:r>
      <w:r w:rsidR="007519F5" w:rsidRPr="008932A7">
        <w:rPr>
          <w:rFonts w:asciiTheme="minorHAnsi" w:hAnsiTheme="minorHAnsi" w:cstheme="majorBidi"/>
        </w:rPr>
        <w:t xml:space="preserve"> </w:t>
      </w:r>
      <w:r w:rsidR="00A4505C" w:rsidRPr="008932A7">
        <w:rPr>
          <w:rFonts w:asciiTheme="minorHAnsi" w:hAnsiTheme="minorHAnsi" w:cstheme="majorBidi"/>
        </w:rPr>
        <w:t xml:space="preserve">in the balance of </w:t>
      </w:r>
      <w:r w:rsidR="00C14D26" w:rsidRPr="008932A7">
        <w:rPr>
          <w:rFonts w:asciiTheme="minorHAnsi" w:hAnsiTheme="minorHAnsi" w:cstheme="majorBidi"/>
        </w:rPr>
        <w:t xml:space="preserve">institutional investors’ </w:t>
      </w:r>
      <w:r w:rsidR="00A4505C" w:rsidRPr="008932A7">
        <w:rPr>
          <w:rFonts w:asciiTheme="minorHAnsi" w:hAnsiTheme="minorHAnsi" w:cstheme="majorBidi"/>
        </w:rPr>
        <w:t>total assets</w:t>
      </w:r>
      <w:r w:rsidR="00D52DB8" w:rsidRPr="008932A7">
        <w:rPr>
          <w:rFonts w:asciiTheme="minorHAnsi" w:hAnsiTheme="minorHAnsi" w:cstheme="majorBidi"/>
        </w:rPr>
        <w:t xml:space="preserve"> (</w:t>
      </w:r>
      <w:r w:rsidR="000B5559" w:rsidRPr="008932A7">
        <w:rPr>
          <w:rFonts w:asciiTheme="minorHAnsi" w:hAnsiTheme="minorHAnsi" w:cstheme="majorBidi"/>
        </w:rPr>
        <w:t>0</w:t>
      </w:r>
      <w:r w:rsidR="007D054E" w:rsidRPr="008932A7">
        <w:rPr>
          <w:rFonts w:asciiTheme="minorHAnsi" w:hAnsiTheme="minorHAnsi" w:cstheme="majorBidi"/>
        </w:rPr>
        <w:t xml:space="preserve">.7 </w:t>
      </w:r>
      <w:r w:rsidR="00D52DB8" w:rsidRPr="008932A7">
        <w:rPr>
          <w:rFonts w:asciiTheme="minorHAnsi" w:hAnsiTheme="minorHAnsi" w:cstheme="majorBidi"/>
        </w:rPr>
        <w:t>percent)</w:t>
      </w:r>
      <w:r w:rsidR="00C14D26" w:rsidRPr="008932A7">
        <w:rPr>
          <w:rFonts w:asciiTheme="minorHAnsi" w:hAnsiTheme="minorHAnsi" w:cstheme="majorBidi"/>
        </w:rPr>
        <w:t xml:space="preserve"> in dollar terms</w:t>
      </w:r>
      <w:r w:rsidR="00C36A60" w:rsidRPr="008932A7">
        <w:rPr>
          <w:rFonts w:asciiTheme="minorHAnsi" w:hAnsiTheme="minorHAnsi" w:cstheme="majorBidi"/>
        </w:rPr>
        <w:t>.</w:t>
      </w:r>
    </w:p>
    <w:p w14:paraId="37EAE786" w14:textId="26A30AE3" w:rsidR="00181CB0" w:rsidRPr="008932A7" w:rsidRDefault="00C14D26" w:rsidP="000B5559">
      <w:pPr>
        <w:bidi w:val="0"/>
        <w:spacing w:line="300" w:lineRule="exact"/>
        <w:ind w:left="426"/>
        <w:jc w:val="both"/>
        <w:rPr>
          <w:rFonts w:asciiTheme="minorHAnsi" w:hAnsiTheme="minorHAnsi" w:cstheme="majorBidi"/>
        </w:rPr>
      </w:pPr>
      <w:r w:rsidRPr="008932A7">
        <w:rPr>
          <w:rFonts w:asciiTheme="minorHAnsi" w:hAnsiTheme="minorHAnsi" w:cstheme="majorBidi"/>
        </w:rPr>
        <w:t>T</w:t>
      </w:r>
      <w:r w:rsidR="00FF72BA" w:rsidRPr="008932A7">
        <w:rPr>
          <w:rFonts w:asciiTheme="minorHAnsi" w:hAnsiTheme="minorHAnsi" w:cstheme="majorBidi"/>
        </w:rPr>
        <w:t xml:space="preserve">he </w:t>
      </w:r>
      <w:r w:rsidR="007519F5" w:rsidRPr="008932A7">
        <w:rPr>
          <w:rFonts w:asciiTheme="minorHAnsi" w:hAnsiTheme="minorHAnsi" w:cstheme="majorBidi"/>
        </w:rPr>
        <w:t xml:space="preserve">increase </w:t>
      </w:r>
      <w:r w:rsidR="00FF72BA" w:rsidRPr="008932A7">
        <w:rPr>
          <w:rFonts w:asciiTheme="minorHAnsi" w:hAnsiTheme="minorHAnsi" w:cstheme="majorBidi"/>
        </w:rPr>
        <w:t>in the balance of exposure to foreign assets (about $</w:t>
      </w:r>
      <w:r w:rsidR="000B5559" w:rsidRPr="008932A7">
        <w:rPr>
          <w:rFonts w:asciiTheme="minorHAnsi" w:hAnsiTheme="minorHAnsi" w:cstheme="majorBidi"/>
        </w:rPr>
        <w:t>13</w:t>
      </w:r>
      <w:r w:rsidR="00FB4819" w:rsidRPr="008932A7">
        <w:rPr>
          <w:rFonts w:asciiTheme="minorHAnsi" w:hAnsiTheme="minorHAnsi" w:cstheme="majorBidi"/>
        </w:rPr>
        <w:t xml:space="preserve"> </w:t>
      </w:r>
      <w:r w:rsidR="007519F5" w:rsidRPr="008932A7">
        <w:rPr>
          <w:rFonts w:asciiTheme="minorHAnsi" w:hAnsiTheme="minorHAnsi" w:cstheme="majorBidi"/>
        </w:rPr>
        <w:t>b</w:t>
      </w:r>
      <w:r w:rsidR="00FF72BA" w:rsidRPr="008932A7">
        <w:rPr>
          <w:rFonts w:asciiTheme="minorHAnsi" w:hAnsiTheme="minorHAnsi" w:cstheme="majorBidi"/>
        </w:rPr>
        <w:t xml:space="preserve">illion) </w:t>
      </w:r>
      <w:r w:rsidR="000B5559" w:rsidRPr="008932A7">
        <w:rPr>
          <w:rFonts w:asciiTheme="minorHAnsi" w:hAnsiTheme="minorHAnsi" w:cstheme="majorBidi"/>
        </w:rPr>
        <w:t>was</w:t>
      </w:r>
      <w:r w:rsidR="00CF0180" w:rsidRPr="008932A7">
        <w:rPr>
          <w:rFonts w:asciiTheme="minorHAnsi" w:hAnsiTheme="minorHAnsi" w:cstheme="majorBidi"/>
        </w:rPr>
        <w:t xml:space="preserve"> mainly</w:t>
      </w:r>
      <w:r w:rsidR="00D13712" w:rsidRPr="008932A7">
        <w:rPr>
          <w:rFonts w:asciiTheme="minorHAnsi" w:hAnsiTheme="minorHAnsi" w:cstheme="majorBidi"/>
        </w:rPr>
        <w:t xml:space="preserve"> </w:t>
      </w:r>
      <w:r w:rsidR="000B5559" w:rsidRPr="008932A7">
        <w:rPr>
          <w:rFonts w:asciiTheme="minorHAnsi" w:hAnsiTheme="minorHAnsi" w:cstheme="majorBidi"/>
        </w:rPr>
        <w:t xml:space="preserve">due to </w:t>
      </w:r>
      <w:r w:rsidR="00331BC4" w:rsidRPr="008932A7">
        <w:rPr>
          <w:rFonts w:asciiTheme="minorHAnsi" w:hAnsiTheme="minorHAnsi" w:cstheme="majorBidi"/>
        </w:rPr>
        <w:t xml:space="preserve">an increase </w:t>
      </w:r>
      <w:r w:rsidR="00FF72BA" w:rsidRPr="008932A7">
        <w:rPr>
          <w:rFonts w:asciiTheme="minorHAnsi" w:hAnsiTheme="minorHAnsi" w:cstheme="majorBidi"/>
        </w:rPr>
        <w:t>in</w:t>
      </w:r>
      <w:r w:rsidR="00703E74" w:rsidRPr="008932A7">
        <w:rPr>
          <w:rFonts w:asciiTheme="minorHAnsi" w:hAnsiTheme="minorHAnsi" w:cstheme="majorBidi"/>
        </w:rPr>
        <w:t xml:space="preserve"> </w:t>
      </w:r>
      <w:r w:rsidRPr="008932A7">
        <w:rPr>
          <w:rFonts w:asciiTheme="minorHAnsi" w:hAnsiTheme="minorHAnsi" w:cstheme="majorBidi"/>
        </w:rPr>
        <w:t>exposure through futures contracts and options on foreign equity indices (about $</w:t>
      </w:r>
      <w:r w:rsidR="000B5559" w:rsidRPr="008932A7">
        <w:rPr>
          <w:rFonts w:asciiTheme="minorHAnsi" w:hAnsiTheme="minorHAnsi" w:cstheme="majorBidi"/>
        </w:rPr>
        <w:t>7</w:t>
      </w:r>
      <w:r w:rsidR="007519F5" w:rsidRPr="008932A7">
        <w:rPr>
          <w:rFonts w:asciiTheme="minorHAnsi" w:hAnsiTheme="minorHAnsi" w:cstheme="majorBidi"/>
        </w:rPr>
        <w:t xml:space="preserve">.7 </w:t>
      </w:r>
      <w:r w:rsidRPr="008932A7">
        <w:rPr>
          <w:rFonts w:asciiTheme="minorHAnsi" w:hAnsiTheme="minorHAnsi" w:cstheme="majorBidi"/>
        </w:rPr>
        <w:t>billion),</w:t>
      </w:r>
      <w:r w:rsidR="00CF0180" w:rsidRPr="008932A7">
        <w:rPr>
          <w:rFonts w:asciiTheme="minorHAnsi" w:hAnsiTheme="minorHAnsi" w:cstheme="majorBidi"/>
        </w:rPr>
        <w:t xml:space="preserve"> and in the balance </w:t>
      </w:r>
      <w:r w:rsidR="00331BC4" w:rsidRPr="008932A7">
        <w:rPr>
          <w:rFonts w:asciiTheme="minorHAnsi" w:hAnsiTheme="minorHAnsi" w:cstheme="majorBidi"/>
        </w:rPr>
        <w:t xml:space="preserve">of equities abroad (about </w:t>
      </w:r>
      <w:r w:rsidR="00D0312C" w:rsidRPr="008932A7">
        <w:rPr>
          <w:rFonts w:asciiTheme="minorHAnsi" w:hAnsiTheme="minorHAnsi" w:cstheme="majorBidi"/>
        </w:rPr>
        <w:t>$</w:t>
      </w:r>
      <w:r w:rsidR="00181CB0" w:rsidRPr="008932A7">
        <w:rPr>
          <w:rFonts w:asciiTheme="minorHAnsi" w:hAnsiTheme="minorHAnsi" w:cstheme="majorBidi"/>
        </w:rPr>
        <w:t>5.</w:t>
      </w:r>
      <w:r w:rsidR="000B5559" w:rsidRPr="008932A7">
        <w:rPr>
          <w:rFonts w:asciiTheme="minorHAnsi" w:hAnsiTheme="minorHAnsi" w:cstheme="majorBidi"/>
        </w:rPr>
        <w:t>6</w:t>
      </w:r>
      <w:r w:rsidR="00355784" w:rsidRPr="008932A7">
        <w:rPr>
          <w:rFonts w:asciiTheme="minorHAnsi" w:hAnsiTheme="minorHAnsi" w:cstheme="majorBidi"/>
        </w:rPr>
        <w:t xml:space="preserve"> billion).</w:t>
      </w:r>
      <w:r w:rsidR="00181CB0" w:rsidRPr="008932A7">
        <w:rPr>
          <w:rFonts w:asciiTheme="minorHAnsi" w:hAnsiTheme="minorHAnsi" w:cstheme="majorBidi"/>
        </w:rPr>
        <w:t xml:space="preserve"> </w:t>
      </w:r>
    </w:p>
    <w:p w14:paraId="57E55E96" w14:textId="77777777" w:rsidR="000B5559" w:rsidRPr="008932A7" w:rsidRDefault="000B5559" w:rsidP="000B5559">
      <w:pPr>
        <w:bidi w:val="0"/>
        <w:spacing w:line="300" w:lineRule="exact"/>
        <w:ind w:left="426"/>
        <w:jc w:val="both"/>
        <w:rPr>
          <w:rFonts w:asciiTheme="minorHAnsi" w:hAnsiTheme="minorHAnsi" w:cstheme="majorBidi"/>
        </w:rPr>
      </w:pPr>
    </w:p>
    <w:p w14:paraId="57F77D3E" w14:textId="116F9DCD" w:rsidR="00181CB0" w:rsidRPr="008932A7" w:rsidRDefault="00181CB0" w:rsidP="000B5559">
      <w:pPr>
        <w:bidi w:val="0"/>
        <w:spacing w:line="300" w:lineRule="exact"/>
        <w:ind w:left="426"/>
        <w:jc w:val="both"/>
        <w:rPr>
          <w:rFonts w:asciiTheme="minorHAnsi" w:hAnsiTheme="minorHAnsi" w:cstheme="majorBidi"/>
        </w:rPr>
      </w:pPr>
      <w:r w:rsidRPr="008932A7">
        <w:rPr>
          <w:rFonts w:asciiTheme="minorHAnsi" w:hAnsiTheme="minorHAnsi" w:cstheme="majorBidi"/>
          <w:b/>
          <w:bCs/>
        </w:rPr>
        <w:t>Exposure to foreign currency</w:t>
      </w:r>
      <w:r w:rsidR="00355784" w:rsidRPr="008932A7">
        <w:rPr>
          <w:rFonts w:asciiTheme="minorHAnsi" w:hAnsiTheme="minorHAnsi" w:cstheme="majorBidi"/>
          <w:b/>
          <w:bCs/>
        </w:rPr>
        <w:t xml:space="preserve"> </w:t>
      </w:r>
      <w:r w:rsidR="00355784" w:rsidRPr="008932A7">
        <w:rPr>
          <w:rFonts w:asciiTheme="minorHAnsi" w:hAnsiTheme="minorHAnsi" w:cstheme="majorBidi"/>
        </w:rPr>
        <w:t xml:space="preserve">- </w:t>
      </w:r>
    </w:p>
    <w:p w14:paraId="3F6BE4B5" w14:textId="52D88FEE" w:rsidR="00FF2C7E" w:rsidRPr="008932A7" w:rsidRDefault="00355784" w:rsidP="000B5559">
      <w:pPr>
        <w:bidi w:val="0"/>
        <w:spacing w:line="300" w:lineRule="exact"/>
        <w:ind w:left="426"/>
        <w:jc w:val="both"/>
        <w:rPr>
          <w:rFonts w:asciiTheme="minorHAnsi" w:hAnsiTheme="minorHAnsi" w:cstheme="majorBidi"/>
        </w:rPr>
      </w:pPr>
      <w:r w:rsidRPr="008932A7">
        <w:rPr>
          <w:rFonts w:asciiTheme="minorHAnsi" w:hAnsiTheme="minorHAnsi" w:cstheme="majorBidi"/>
        </w:rPr>
        <w:t xml:space="preserve">During the </w:t>
      </w:r>
      <w:r w:rsidR="000B5559" w:rsidRPr="008932A7">
        <w:rPr>
          <w:rFonts w:asciiTheme="minorHAnsi" w:hAnsiTheme="minorHAnsi" w:cstheme="majorBidi"/>
        </w:rPr>
        <w:t>second</w:t>
      </w:r>
      <w:r w:rsidRPr="008932A7">
        <w:rPr>
          <w:rFonts w:asciiTheme="minorHAnsi" w:hAnsiTheme="minorHAnsi" w:cstheme="majorBidi"/>
        </w:rPr>
        <w:t xml:space="preserve"> quarter of 2024</w:t>
      </w:r>
      <w:r w:rsidR="00E11635" w:rsidRPr="008932A7">
        <w:rPr>
          <w:rFonts w:asciiTheme="minorHAnsi" w:hAnsiTheme="minorHAnsi" w:cstheme="majorBidi"/>
        </w:rPr>
        <w:t xml:space="preserve">, institutional investors </w:t>
      </w:r>
      <w:r w:rsidR="000B5559" w:rsidRPr="008932A7">
        <w:rPr>
          <w:rFonts w:asciiTheme="minorHAnsi" w:hAnsiTheme="minorHAnsi" w:cstheme="majorBidi"/>
        </w:rPr>
        <w:t>made</w:t>
      </w:r>
      <w:r w:rsidR="00E11635" w:rsidRPr="008932A7">
        <w:rPr>
          <w:rFonts w:asciiTheme="minorHAnsi" w:hAnsiTheme="minorHAnsi" w:cstheme="majorBidi"/>
        </w:rPr>
        <w:t xml:space="preserve"> net</w:t>
      </w:r>
      <w:r w:rsidR="000B5559" w:rsidRPr="008932A7">
        <w:rPr>
          <w:rFonts w:asciiTheme="minorHAnsi" w:hAnsiTheme="minorHAnsi" w:cstheme="majorBidi"/>
        </w:rPr>
        <w:t xml:space="preserve"> purchases</w:t>
      </w:r>
      <w:r w:rsidR="00E11635" w:rsidRPr="008932A7">
        <w:rPr>
          <w:rFonts w:asciiTheme="minorHAnsi" w:hAnsiTheme="minorHAnsi" w:cstheme="majorBidi"/>
        </w:rPr>
        <w:t xml:space="preserve"> foreign currency assets </w:t>
      </w:r>
      <w:r w:rsidR="004A28DA" w:rsidRPr="008932A7">
        <w:rPr>
          <w:rFonts w:asciiTheme="minorHAnsi" w:hAnsiTheme="minorHAnsi" w:cstheme="majorBidi"/>
        </w:rPr>
        <w:t>totaling about $3.</w:t>
      </w:r>
      <w:r w:rsidR="000B5559" w:rsidRPr="008932A7">
        <w:rPr>
          <w:rFonts w:asciiTheme="minorHAnsi" w:hAnsiTheme="minorHAnsi" w:cstheme="majorBidi"/>
        </w:rPr>
        <w:t>2</w:t>
      </w:r>
      <w:r w:rsidR="004A28DA" w:rsidRPr="008932A7">
        <w:rPr>
          <w:rFonts w:asciiTheme="minorHAnsi" w:hAnsiTheme="minorHAnsi" w:cstheme="majorBidi"/>
        </w:rPr>
        <w:t xml:space="preserve"> billion</w:t>
      </w:r>
      <w:r w:rsidR="004A034A" w:rsidRPr="008932A7">
        <w:rPr>
          <w:rFonts w:asciiTheme="minorHAnsi" w:hAnsiTheme="minorHAnsi" w:cstheme="majorBidi"/>
        </w:rPr>
        <w:t>—</w:t>
      </w:r>
      <w:r w:rsidR="000B5559" w:rsidRPr="008932A7">
        <w:rPr>
          <w:rFonts w:asciiTheme="minorHAnsi" w:hAnsiTheme="minorHAnsi" w:cstheme="majorBidi"/>
        </w:rPr>
        <w:t>purchases</w:t>
      </w:r>
      <w:r w:rsidR="004A034A" w:rsidRPr="008932A7">
        <w:rPr>
          <w:rFonts w:asciiTheme="minorHAnsi" w:hAnsiTheme="minorHAnsi" w:cstheme="majorBidi"/>
        </w:rPr>
        <w:t xml:space="preserve"> of </w:t>
      </w:r>
      <w:r w:rsidR="004A28DA" w:rsidRPr="008932A7">
        <w:rPr>
          <w:rFonts w:asciiTheme="minorHAnsi" w:hAnsiTheme="minorHAnsi" w:cstheme="majorBidi"/>
        </w:rPr>
        <w:t xml:space="preserve">about </w:t>
      </w:r>
      <w:r w:rsidR="00331BC4" w:rsidRPr="008932A7">
        <w:rPr>
          <w:rFonts w:asciiTheme="minorHAnsi" w:hAnsiTheme="minorHAnsi" w:cstheme="majorBidi"/>
        </w:rPr>
        <w:t>$</w:t>
      </w:r>
      <w:r w:rsidR="000B5559" w:rsidRPr="008932A7">
        <w:rPr>
          <w:rFonts w:asciiTheme="minorHAnsi" w:hAnsiTheme="minorHAnsi" w:cstheme="majorBidi"/>
        </w:rPr>
        <w:t>4.9</w:t>
      </w:r>
      <w:r w:rsidR="00331BC4" w:rsidRPr="008932A7">
        <w:rPr>
          <w:rFonts w:asciiTheme="minorHAnsi" w:hAnsiTheme="minorHAnsi" w:cstheme="majorBidi"/>
        </w:rPr>
        <w:t xml:space="preserve"> billion in assets denominated in and indexed to foreign currency </w:t>
      </w:r>
      <w:r w:rsidR="005525D7" w:rsidRPr="008932A7">
        <w:rPr>
          <w:rFonts w:asciiTheme="minorHAnsi" w:hAnsiTheme="minorHAnsi" w:cstheme="majorBidi"/>
        </w:rPr>
        <w:t>(mainly ETFs and foreign equities traded in Israel</w:t>
      </w:r>
      <w:r w:rsidR="000B5559" w:rsidRPr="008932A7">
        <w:rPr>
          <w:rFonts w:asciiTheme="minorHAnsi" w:hAnsiTheme="minorHAnsi" w:cstheme="majorBidi"/>
        </w:rPr>
        <w:t>, and equities and investment funds abroad</w:t>
      </w:r>
      <w:r w:rsidR="005525D7" w:rsidRPr="008932A7">
        <w:rPr>
          <w:rFonts w:asciiTheme="minorHAnsi" w:hAnsiTheme="minorHAnsi" w:cstheme="majorBidi"/>
        </w:rPr>
        <w:t xml:space="preserve">), and </w:t>
      </w:r>
      <w:r w:rsidR="000B5559" w:rsidRPr="008932A7">
        <w:rPr>
          <w:rFonts w:asciiTheme="minorHAnsi" w:hAnsiTheme="minorHAnsi" w:cstheme="majorBidi"/>
        </w:rPr>
        <w:t xml:space="preserve">parallel </w:t>
      </w:r>
      <w:r w:rsidR="005525D7" w:rsidRPr="008932A7">
        <w:rPr>
          <w:rFonts w:asciiTheme="minorHAnsi" w:hAnsiTheme="minorHAnsi" w:cstheme="majorBidi"/>
        </w:rPr>
        <w:t xml:space="preserve">net </w:t>
      </w:r>
      <w:r w:rsidR="000B5559" w:rsidRPr="008932A7">
        <w:rPr>
          <w:rFonts w:asciiTheme="minorHAnsi" w:hAnsiTheme="minorHAnsi" w:cstheme="majorBidi"/>
        </w:rPr>
        <w:t>sales</w:t>
      </w:r>
      <w:r w:rsidR="005525D7" w:rsidRPr="008932A7">
        <w:rPr>
          <w:rFonts w:asciiTheme="minorHAnsi" w:hAnsiTheme="minorHAnsi" w:cstheme="majorBidi"/>
        </w:rPr>
        <w:t xml:space="preserve"> of foreign currency via derivat</w:t>
      </w:r>
      <w:r w:rsidR="00B31F6D" w:rsidRPr="008932A7">
        <w:rPr>
          <w:rFonts w:asciiTheme="minorHAnsi" w:hAnsiTheme="minorHAnsi" w:cstheme="majorBidi"/>
        </w:rPr>
        <w:t>ive finan</w:t>
      </w:r>
      <w:r w:rsidR="004A28DA" w:rsidRPr="008932A7">
        <w:rPr>
          <w:rFonts w:asciiTheme="minorHAnsi" w:hAnsiTheme="minorHAnsi" w:cstheme="majorBidi"/>
        </w:rPr>
        <w:t>cial instrume</w:t>
      </w:r>
      <w:r w:rsidR="005525D7" w:rsidRPr="008932A7">
        <w:rPr>
          <w:rFonts w:asciiTheme="minorHAnsi" w:hAnsiTheme="minorHAnsi" w:cstheme="majorBidi"/>
        </w:rPr>
        <w:t>n</w:t>
      </w:r>
      <w:r w:rsidR="004A28DA" w:rsidRPr="008932A7">
        <w:rPr>
          <w:rFonts w:asciiTheme="minorHAnsi" w:hAnsiTheme="minorHAnsi" w:cstheme="majorBidi"/>
        </w:rPr>
        <w:t>t</w:t>
      </w:r>
      <w:r w:rsidR="005525D7" w:rsidRPr="008932A7">
        <w:rPr>
          <w:rFonts w:asciiTheme="minorHAnsi" w:hAnsiTheme="minorHAnsi" w:cstheme="majorBidi"/>
        </w:rPr>
        <w:t xml:space="preserve">s </w:t>
      </w:r>
      <w:r w:rsidR="000B5559" w:rsidRPr="008932A7">
        <w:rPr>
          <w:rFonts w:asciiTheme="minorHAnsi" w:hAnsiTheme="minorHAnsi" w:cstheme="majorBidi"/>
        </w:rPr>
        <w:t>totaling about</w:t>
      </w:r>
      <w:r w:rsidR="005525D7" w:rsidRPr="008932A7">
        <w:rPr>
          <w:rFonts w:asciiTheme="minorHAnsi" w:hAnsiTheme="minorHAnsi" w:cstheme="majorBidi"/>
        </w:rPr>
        <w:t xml:space="preserve"> $</w:t>
      </w:r>
      <w:r w:rsidR="000B5559" w:rsidRPr="008932A7">
        <w:rPr>
          <w:rFonts w:asciiTheme="minorHAnsi" w:hAnsiTheme="minorHAnsi" w:cstheme="majorBidi"/>
        </w:rPr>
        <w:t>1.7</w:t>
      </w:r>
      <w:r w:rsidR="005525D7" w:rsidRPr="008932A7">
        <w:rPr>
          <w:rFonts w:asciiTheme="minorHAnsi" w:hAnsiTheme="minorHAnsi" w:cstheme="majorBidi"/>
        </w:rPr>
        <w:t xml:space="preserve"> billion</w:t>
      </w:r>
      <w:r w:rsidR="00380CE9" w:rsidRPr="008932A7">
        <w:rPr>
          <w:rFonts w:asciiTheme="minorHAnsi" w:hAnsiTheme="minorHAnsi" w:cstheme="majorBidi"/>
        </w:rPr>
        <w:t>, meaning a</w:t>
      </w:r>
      <w:r w:rsidR="000B5559" w:rsidRPr="008932A7">
        <w:rPr>
          <w:rFonts w:asciiTheme="minorHAnsi" w:hAnsiTheme="minorHAnsi" w:cstheme="majorBidi"/>
        </w:rPr>
        <w:t>n increase in</w:t>
      </w:r>
      <w:r w:rsidR="00380CE9" w:rsidRPr="008932A7">
        <w:rPr>
          <w:rFonts w:asciiTheme="minorHAnsi" w:hAnsiTheme="minorHAnsi" w:cstheme="majorBidi"/>
        </w:rPr>
        <w:t xml:space="preserve"> future</w:t>
      </w:r>
      <w:r w:rsidR="004A28DA" w:rsidRPr="008932A7">
        <w:rPr>
          <w:rFonts w:asciiTheme="minorHAnsi" w:hAnsiTheme="minorHAnsi" w:cstheme="majorBidi"/>
        </w:rPr>
        <w:t>s tr</w:t>
      </w:r>
      <w:r w:rsidR="00380CE9" w:rsidRPr="008932A7">
        <w:rPr>
          <w:rFonts w:asciiTheme="minorHAnsi" w:hAnsiTheme="minorHAnsi" w:cstheme="majorBidi"/>
        </w:rPr>
        <w:t>a</w:t>
      </w:r>
      <w:r w:rsidR="004A28DA" w:rsidRPr="008932A7">
        <w:rPr>
          <w:rFonts w:asciiTheme="minorHAnsi" w:hAnsiTheme="minorHAnsi" w:cstheme="majorBidi"/>
        </w:rPr>
        <w:t>nsacti</w:t>
      </w:r>
      <w:r w:rsidR="00380CE9" w:rsidRPr="008932A7">
        <w:rPr>
          <w:rFonts w:asciiTheme="minorHAnsi" w:hAnsiTheme="minorHAnsi" w:cstheme="majorBidi"/>
        </w:rPr>
        <w:t xml:space="preserve">ons to sell foreign currency. </w:t>
      </w:r>
    </w:p>
    <w:p w14:paraId="591690ED" w14:textId="77777777" w:rsidR="000B5559" w:rsidRPr="008932A7" w:rsidRDefault="000B5559" w:rsidP="000B5559">
      <w:pPr>
        <w:bidi w:val="0"/>
        <w:spacing w:line="300" w:lineRule="exact"/>
        <w:ind w:left="426"/>
        <w:jc w:val="both"/>
        <w:rPr>
          <w:rFonts w:asciiTheme="minorHAnsi" w:hAnsiTheme="minorHAnsi" w:cstheme="majorBidi"/>
        </w:rPr>
      </w:pPr>
    </w:p>
    <w:p w14:paraId="667BCDE4" w14:textId="37213B0A" w:rsidR="00380CE9" w:rsidRPr="008932A7" w:rsidRDefault="00380CE9" w:rsidP="000B5559">
      <w:pPr>
        <w:bidi w:val="0"/>
        <w:spacing w:line="300" w:lineRule="exact"/>
        <w:ind w:left="426"/>
        <w:jc w:val="both"/>
        <w:rPr>
          <w:rFonts w:asciiTheme="minorHAnsi" w:hAnsiTheme="minorHAnsi" w:cstheme="majorBidi"/>
        </w:rPr>
      </w:pPr>
      <w:r w:rsidRPr="008932A7">
        <w:rPr>
          <w:rFonts w:asciiTheme="minorHAnsi" w:hAnsiTheme="minorHAnsi" w:cstheme="majorBidi"/>
        </w:rPr>
        <w:t xml:space="preserve">In this quarter, there was an increase </w:t>
      </w:r>
      <w:r w:rsidR="0080634F" w:rsidRPr="008932A7">
        <w:rPr>
          <w:rFonts w:asciiTheme="minorHAnsi" w:hAnsiTheme="minorHAnsi" w:cstheme="majorBidi"/>
        </w:rPr>
        <w:t>in th</w:t>
      </w:r>
      <w:r w:rsidR="004A28DA" w:rsidRPr="008932A7">
        <w:rPr>
          <w:rFonts w:asciiTheme="minorHAnsi" w:hAnsiTheme="minorHAnsi" w:cstheme="majorBidi"/>
        </w:rPr>
        <w:t>e</w:t>
      </w:r>
      <w:r w:rsidR="0080634F" w:rsidRPr="008932A7">
        <w:rPr>
          <w:rFonts w:asciiTheme="minorHAnsi" w:hAnsiTheme="minorHAnsi" w:cstheme="majorBidi"/>
        </w:rPr>
        <w:t xml:space="preserve"> </w:t>
      </w:r>
      <w:r w:rsidR="000B5559" w:rsidRPr="008932A7">
        <w:rPr>
          <w:rFonts w:asciiTheme="minorHAnsi" w:hAnsiTheme="minorHAnsi" w:cstheme="majorBidi"/>
        </w:rPr>
        <w:t>rate</w:t>
      </w:r>
      <w:r w:rsidR="0080634F" w:rsidRPr="008932A7">
        <w:rPr>
          <w:rFonts w:asciiTheme="minorHAnsi" w:hAnsiTheme="minorHAnsi" w:cstheme="majorBidi"/>
        </w:rPr>
        <w:t xml:space="preserve"> of </w:t>
      </w:r>
      <w:r w:rsidR="000B5559" w:rsidRPr="008932A7">
        <w:rPr>
          <w:rFonts w:asciiTheme="minorHAnsi" w:hAnsiTheme="minorHAnsi" w:cstheme="majorBidi"/>
        </w:rPr>
        <w:t xml:space="preserve">institutional investors’ </w:t>
      </w:r>
      <w:r w:rsidR="0080634F" w:rsidRPr="008932A7">
        <w:rPr>
          <w:rFonts w:asciiTheme="minorHAnsi" w:hAnsiTheme="minorHAnsi" w:cstheme="majorBidi"/>
        </w:rPr>
        <w:t>exp</w:t>
      </w:r>
      <w:r w:rsidR="004A28DA" w:rsidRPr="008932A7">
        <w:rPr>
          <w:rFonts w:asciiTheme="minorHAnsi" w:hAnsiTheme="minorHAnsi" w:cstheme="majorBidi"/>
        </w:rPr>
        <w:t>osure to foreign currency (incl</w:t>
      </w:r>
      <w:r w:rsidR="0080634F" w:rsidRPr="008932A7">
        <w:rPr>
          <w:rFonts w:asciiTheme="minorHAnsi" w:hAnsiTheme="minorHAnsi" w:cstheme="majorBidi"/>
        </w:rPr>
        <w:t>u</w:t>
      </w:r>
      <w:r w:rsidR="004A28DA" w:rsidRPr="008932A7">
        <w:rPr>
          <w:rFonts w:asciiTheme="minorHAnsi" w:hAnsiTheme="minorHAnsi" w:cstheme="majorBidi"/>
        </w:rPr>
        <w:t>d</w:t>
      </w:r>
      <w:r w:rsidR="0080634F" w:rsidRPr="008932A7">
        <w:rPr>
          <w:rFonts w:asciiTheme="minorHAnsi" w:hAnsiTheme="minorHAnsi" w:cstheme="majorBidi"/>
        </w:rPr>
        <w:t xml:space="preserve">ing NIS/forex derivatives) of about </w:t>
      </w:r>
      <w:r w:rsidR="000B5559" w:rsidRPr="008932A7">
        <w:rPr>
          <w:rFonts w:asciiTheme="minorHAnsi" w:hAnsiTheme="minorHAnsi" w:cstheme="majorBidi"/>
        </w:rPr>
        <w:t>1</w:t>
      </w:r>
      <w:r w:rsidR="0080634F" w:rsidRPr="008932A7">
        <w:rPr>
          <w:rFonts w:asciiTheme="minorHAnsi" w:hAnsiTheme="minorHAnsi" w:cstheme="majorBidi"/>
        </w:rPr>
        <w:t xml:space="preserve"> percentage point</w:t>
      </w:r>
      <w:r w:rsidR="004A28DA" w:rsidRPr="008932A7">
        <w:rPr>
          <w:rFonts w:asciiTheme="minorHAnsi" w:hAnsiTheme="minorHAnsi" w:cstheme="majorBidi"/>
        </w:rPr>
        <w:t xml:space="preserve"> </w:t>
      </w:r>
      <w:r w:rsidR="00C77279" w:rsidRPr="008932A7">
        <w:rPr>
          <w:rFonts w:asciiTheme="minorHAnsi" w:hAnsiTheme="minorHAnsi" w:cstheme="majorBidi"/>
        </w:rPr>
        <w:t xml:space="preserve">to a level of </w:t>
      </w:r>
      <w:r w:rsidR="000B5559" w:rsidRPr="008932A7">
        <w:rPr>
          <w:rFonts w:asciiTheme="minorHAnsi" w:hAnsiTheme="minorHAnsi" w:cstheme="majorBidi"/>
        </w:rPr>
        <w:t xml:space="preserve">about </w:t>
      </w:r>
      <w:r w:rsidR="00C77279" w:rsidRPr="008932A7">
        <w:rPr>
          <w:rFonts w:asciiTheme="minorHAnsi" w:hAnsiTheme="minorHAnsi" w:cstheme="majorBidi"/>
        </w:rPr>
        <w:t>2</w:t>
      </w:r>
      <w:r w:rsidR="000B5559" w:rsidRPr="008932A7">
        <w:rPr>
          <w:rFonts w:asciiTheme="minorHAnsi" w:hAnsiTheme="minorHAnsi" w:cstheme="majorBidi"/>
        </w:rPr>
        <w:t>3</w:t>
      </w:r>
      <w:r w:rsidR="00C77279" w:rsidRPr="008932A7">
        <w:rPr>
          <w:rFonts w:asciiTheme="minorHAnsi" w:hAnsiTheme="minorHAnsi" w:cstheme="majorBidi"/>
        </w:rPr>
        <w:t>.6 percent.</w:t>
      </w:r>
      <w:r w:rsidR="0080634F" w:rsidRPr="008932A7">
        <w:rPr>
          <w:rFonts w:asciiTheme="minorHAnsi" w:hAnsiTheme="minorHAnsi" w:cstheme="majorBidi"/>
        </w:rPr>
        <w:t xml:space="preserve"> </w:t>
      </w:r>
    </w:p>
    <w:p w14:paraId="6F8E28B9" w14:textId="4966C06F" w:rsidR="00A34C08" w:rsidRPr="008932A7" w:rsidRDefault="00134A53" w:rsidP="00A34C08">
      <w:pPr>
        <w:bidi w:val="0"/>
        <w:spacing w:line="300" w:lineRule="exact"/>
        <w:jc w:val="both"/>
        <w:rPr>
          <w:rFonts w:asciiTheme="minorHAnsi" w:hAnsiTheme="minorHAnsi" w:cstheme="majorBidi"/>
        </w:rPr>
      </w:pPr>
      <w:r w:rsidRPr="008932A7">
        <w:rPr>
          <w:rFonts w:asciiTheme="minorHAnsi" w:hAnsiTheme="minorHAnsi" w:cstheme="majorBidi"/>
          <w:noProof/>
        </w:rPr>
        <w:drawing>
          <wp:anchor distT="0" distB="0" distL="114300" distR="114300" simplePos="0" relativeHeight="251679744" behindDoc="0" locked="0" layoutInCell="1" allowOverlap="1" wp14:anchorId="4C48B1A9" wp14:editId="58CA50D0">
            <wp:simplePos x="0" y="0"/>
            <wp:positionH relativeFrom="column">
              <wp:posOffset>3194050</wp:posOffset>
            </wp:positionH>
            <wp:positionV relativeFrom="paragraph">
              <wp:posOffset>367665</wp:posOffset>
            </wp:positionV>
            <wp:extent cx="3041650" cy="2485390"/>
            <wp:effectExtent l="0" t="0" r="6350" b="0"/>
            <wp:wrapSquare wrapText="bothSides"/>
            <wp:docPr id="16" name="תמונה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1650" cy="2485390"/>
                    </a:xfrm>
                    <a:prstGeom prst="rect">
                      <a:avLst/>
                    </a:prstGeom>
                    <a:noFill/>
                  </pic:spPr>
                </pic:pic>
              </a:graphicData>
            </a:graphic>
            <wp14:sizeRelH relativeFrom="margin">
              <wp14:pctWidth>0</wp14:pctWidth>
            </wp14:sizeRelH>
            <wp14:sizeRelV relativeFrom="margin">
              <wp14:pctHeight>0</wp14:pctHeight>
            </wp14:sizeRelV>
          </wp:anchor>
        </w:drawing>
      </w:r>
      <w:r w:rsidRPr="008932A7">
        <w:rPr>
          <w:rFonts w:asciiTheme="minorHAnsi" w:hAnsiTheme="minorHAnsi" w:cstheme="majorBidi"/>
          <w:noProof/>
        </w:rPr>
        <w:drawing>
          <wp:anchor distT="0" distB="0" distL="114300" distR="114300" simplePos="0" relativeHeight="251678720" behindDoc="0" locked="0" layoutInCell="1" allowOverlap="1" wp14:anchorId="58714095" wp14:editId="5C9C13AC">
            <wp:simplePos x="0" y="0"/>
            <wp:positionH relativeFrom="column">
              <wp:posOffset>-196850</wp:posOffset>
            </wp:positionH>
            <wp:positionV relativeFrom="paragraph">
              <wp:posOffset>361950</wp:posOffset>
            </wp:positionV>
            <wp:extent cx="3322320" cy="2476500"/>
            <wp:effectExtent l="0" t="0" r="0" b="0"/>
            <wp:wrapSquare wrapText="bothSides"/>
            <wp:docPr id="15" name="תמונה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22320" cy="2476500"/>
                    </a:xfrm>
                    <a:prstGeom prst="rect">
                      <a:avLst/>
                    </a:prstGeom>
                    <a:noFill/>
                  </pic:spPr>
                </pic:pic>
              </a:graphicData>
            </a:graphic>
          </wp:anchor>
        </w:drawing>
      </w:r>
    </w:p>
    <w:p w14:paraId="61174238" w14:textId="6B6EDFFA" w:rsidR="00935E04" w:rsidRPr="008932A7" w:rsidRDefault="00935E04" w:rsidP="00A35DF3">
      <w:pPr>
        <w:bidi w:val="0"/>
        <w:spacing w:line="300" w:lineRule="exact"/>
        <w:jc w:val="both"/>
        <w:rPr>
          <w:rFonts w:asciiTheme="minorHAnsi" w:hAnsiTheme="minorHAnsi" w:cstheme="majorBidi"/>
        </w:rPr>
      </w:pPr>
    </w:p>
    <w:p w14:paraId="4A80E867" w14:textId="108D89C8" w:rsidR="00935E04" w:rsidRPr="008932A7" w:rsidRDefault="00935E04" w:rsidP="007E422E">
      <w:pPr>
        <w:bidi w:val="0"/>
        <w:spacing w:line="300" w:lineRule="exact"/>
        <w:jc w:val="both"/>
        <w:rPr>
          <w:rFonts w:asciiTheme="minorHAnsi" w:hAnsiTheme="minorHAnsi" w:cstheme="majorBidi"/>
        </w:rPr>
      </w:pPr>
    </w:p>
    <w:p w14:paraId="6A32BCD4" w14:textId="51856BD1" w:rsidR="00111C23" w:rsidRPr="008932A7" w:rsidRDefault="004F34CD" w:rsidP="007E422E">
      <w:pPr>
        <w:pStyle w:val="1"/>
        <w:jc w:val="left"/>
        <w:rPr>
          <w:rFonts w:asciiTheme="minorHAnsi" w:hAnsiTheme="minorHAnsi" w:cstheme="majorBidi"/>
        </w:rPr>
      </w:pPr>
      <w:r w:rsidRPr="008932A7">
        <w:rPr>
          <w:rFonts w:asciiTheme="minorHAnsi" w:hAnsiTheme="minorHAnsi" w:cstheme="majorBidi"/>
        </w:rPr>
        <w:t>4</w:t>
      </w:r>
      <w:r w:rsidR="00111C23" w:rsidRPr="008932A7">
        <w:rPr>
          <w:rFonts w:asciiTheme="minorHAnsi" w:hAnsiTheme="minorHAnsi" w:cstheme="majorBidi"/>
        </w:rPr>
        <w:t xml:space="preserve">. </w:t>
      </w:r>
      <w:r w:rsidR="008C0538" w:rsidRPr="008932A7">
        <w:rPr>
          <w:rFonts w:asciiTheme="minorHAnsi" w:hAnsiTheme="minorHAnsi" w:cstheme="majorBidi"/>
        </w:rPr>
        <w:t>The portfolio managed by m</w:t>
      </w:r>
      <w:r w:rsidR="00111C23" w:rsidRPr="008932A7">
        <w:rPr>
          <w:rFonts w:asciiTheme="minorHAnsi" w:hAnsiTheme="minorHAnsi" w:cstheme="majorBidi"/>
        </w:rPr>
        <w:t>utual funds</w:t>
      </w:r>
    </w:p>
    <w:p w14:paraId="3782F0C6" w14:textId="61E665CB" w:rsidR="00111C23" w:rsidRPr="008932A7" w:rsidRDefault="00111C23" w:rsidP="007E422E">
      <w:pPr>
        <w:bidi w:val="0"/>
        <w:spacing w:line="300" w:lineRule="exact"/>
        <w:jc w:val="both"/>
        <w:rPr>
          <w:rFonts w:asciiTheme="minorHAnsi" w:hAnsiTheme="minorHAnsi" w:cstheme="majorBidi"/>
        </w:rPr>
      </w:pPr>
    </w:p>
    <w:p w14:paraId="1B224F30" w14:textId="6F4D7082" w:rsidR="006704E6" w:rsidRPr="008932A7" w:rsidRDefault="00111C23" w:rsidP="00134A53">
      <w:pPr>
        <w:bidi w:val="0"/>
        <w:spacing w:line="300" w:lineRule="exact"/>
        <w:jc w:val="both"/>
        <w:rPr>
          <w:rFonts w:asciiTheme="minorHAnsi" w:hAnsiTheme="minorHAnsi" w:cstheme="majorBidi"/>
        </w:rPr>
      </w:pPr>
      <w:r w:rsidRPr="008932A7">
        <w:rPr>
          <w:rFonts w:asciiTheme="minorHAnsi" w:hAnsiTheme="minorHAnsi" w:cstheme="majorBidi"/>
        </w:rPr>
        <w:t>The value of the portfolio managed by</w:t>
      </w:r>
      <w:r w:rsidR="00150DCF" w:rsidRPr="008932A7">
        <w:rPr>
          <w:rFonts w:asciiTheme="minorHAnsi" w:hAnsiTheme="minorHAnsi" w:cstheme="majorBidi"/>
        </w:rPr>
        <w:t xml:space="preserve"> Israeli </w:t>
      </w:r>
      <w:r w:rsidRPr="008932A7">
        <w:rPr>
          <w:rFonts w:asciiTheme="minorHAnsi" w:hAnsiTheme="minorHAnsi" w:cstheme="majorBidi"/>
        </w:rPr>
        <w:t xml:space="preserve">mutual funds </w:t>
      </w:r>
      <w:r w:rsidR="00A76DF8" w:rsidRPr="008932A7">
        <w:rPr>
          <w:rFonts w:asciiTheme="minorHAnsi" w:hAnsiTheme="minorHAnsi" w:cstheme="majorBidi"/>
        </w:rPr>
        <w:t>increased</w:t>
      </w:r>
      <w:r w:rsidR="005F1CA9" w:rsidRPr="008932A7">
        <w:rPr>
          <w:rFonts w:asciiTheme="minorHAnsi" w:hAnsiTheme="minorHAnsi" w:cstheme="majorBidi"/>
        </w:rPr>
        <w:t xml:space="preserve"> in the </w:t>
      </w:r>
      <w:r w:rsidR="000B5559" w:rsidRPr="008932A7">
        <w:rPr>
          <w:rFonts w:asciiTheme="minorHAnsi" w:hAnsiTheme="minorHAnsi" w:cstheme="majorBidi"/>
        </w:rPr>
        <w:t>second</w:t>
      </w:r>
      <w:r w:rsidR="006B32D0" w:rsidRPr="008932A7">
        <w:rPr>
          <w:rFonts w:asciiTheme="minorHAnsi" w:hAnsiTheme="minorHAnsi" w:cstheme="majorBidi"/>
        </w:rPr>
        <w:t xml:space="preserve"> quarter</w:t>
      </w:r>
      <w:r w:rsidR="005F1CA9" w:rsidRPr="008932A7">
        <w:rPr>
          <w:rFonts w:asciiTheme="minorHAnsi" w:hAnsiTheme="minorHAnsi" w:cstheme="majorBidi"/>
        </w:rPr>
        <w:t xml:space="preserve"> by </w:t>
      </w:r>
      <w:r w:rsidR="00C66406" w:rsidRPr="008932A7">
        <w:rPr>
          <w:rFonts w:asciiTheme="minorHAnsi" w:hAnsiTheme="minorHAnsi" w:cstheme="majorBidi"/>
        </w:rPr>
        <w:t xml:space="preserve">approximately </w:t>
      </w:r>
      <w:r w:rsidR="00935E04" w:rsidRPr="008932A7">
        <w:rPr>
          <w:rFonts w:asciiTheme="minorHAnsi" w:hAnsiTheme="minorHAnsi" w:cstheme="majorBidi"/>
        </w:rPr>
        <w:t xml:space="preserve">NIS </w:t>
      </w:r>
      <w:r w:rsidR="000B5559" w:rsidRPr="008932A7">
        <w:rPr>
          <w:rFonts w:asciiTheme="minorHAnsi" w:hAnsiTheme="minorHAnsi" w:cstheme="majorBidi"/>
        </w:rPr>
        <w:t>22.5</w:t>
      </w:r>
      <w:r w:rsidR="00330595" w:rsidRPr="008932A7">
        <w:rPr>
          <w:rFonts w:asciiTheme="minorHAnsi" w:hAnsiTheme="minorHAnsi" w:cstheme="majorBidi"/>
        </w:rPr>
        <w:t xml:space="preserve"> </w:t>
      </w:r>
      <w:r w:rsidR="00935E04" w:rsidRPr="008932A7">
        <w:rPr>
          <w:rFonts w:asciiTheme="minorHAnsi" w:hAnsiTheme="minorHAnsi" w:cstheme="majorBidi"/>
        </w:rPr>
        <w:t>billion (</w:t>
      </w:r>
      <w:r w:rsidR="000B5559" w:rsidRPr="008932A7">
        <w:rPr>
          <w:rFonts w:asciiTheme="minorHAnsi" w:hAnsiTheme="minorHAnsi" w:cstheme="majorBidi"/>
        </w:rPr>
        <w:t>4.5</w:t>
      </w:r>
      <w:r w:rsidR="00330595" w:rsidRPr="008932A7">
        <w:rPr>
          <w:rFonts w:asciiTheme="minorHAnsi" w:hAnsiTheme="minorHAnsi" w:cstheme="majorBidi"/>
        </w:rPr>
        <w:t xml:space="preserve"> </w:t>
      </w:r>
      <w:r w:rsidR="00935E04" w:rsidRPr="008932A7">
        <w:rPr>
          <w:rFonts w:asciiTheme="minorHAnsi" w:hAnsiTheme="minorHAnsi" w:cstheme="majorBidi"/>
        </w:rPr>
        <w:t>percent), to</w:t>
      </w:r>
      <w:r w:rsidRPr="008932A7">
        <w:rPr>
          <w:rFonts w:asciiTheme="minorHAnsi" w:hAnsiTheme="minorHAnsi" w:cstheme="majorBidi"/>
        </w:rPr>
        <w:t xml:space="preserve"> </w:t>
      </w:r>
      <w:r w:rsidR="00A22FC4" w:rsidRPr="008932A7">
        <w:rPr>
          <w:rFonts w:asciiTheme="minorHAnsi" w:hAnsiTheme="minorHAnsi" w:cstheme="majorBidi"/>
        </w:rPr>
        <w:t xml:space="preserve">about </w:t>
      </w:r>
      <w:r w:rsidRPr="008932A7">
        <w:rPr>
          <w:rFonts w:asciiTheme="minorHAnsi" w:hAnsiTheme="minorHAnsi" w:cstheme="majorBidi"/>
        </w:rPr>
        <w:t xml:space="preserve">NIS </w:t>
      </w:r>
      <w:r w:rsidR="000B5559" w:rsidRPr="008932A7">
        <w:rPr>
          <w:rFonts w:asciiTheme="minorHAnsi" w:hAnsiTheme="minorHAnsi" w:cstheme="majorBidi"/>
        </w:rPr>
        <w:t>518.2</w:t>
      </w:r>
      <w:r w:rsidR="002D1BB3" w:rsidRPr="008932A7">
        <w:rPr>
          <w:rFonts w:asciiTheme="minorHAnsi" w:hAnsiTheme="minorHAnsi" w:cstheme="majorBidi"/>
        </w:rPr>
        <w:t xml:space="preserve"> </w:t>
      </w:r>
      <w:r w:rsidRPr="008932A7">
        <w:rPr>
          <w:rFonts w:asciiTheme="minorHAnsi" w:hAnsiTheme="minorHAnsi" w:cstheme="majorBidi"/>
        </w:rPr>
        <w:t>billion</w:t>
      </w:r>
      <w:r w:rsidR="00330595" w:rsidRPr="008932A7">
        <w:rPr>
          <w:rFonts w:asciiTheme="minorHAnsi" w:hAnsiTheme="minorHAnsi" w:cstheme="majorBidi"/>
        </w:rPr>
        <w:t xml:space="preserve"> at the end of the quarter</w:t>
      </w:r>
      <w:r w:rsidR="000A2FAD" w:rsidRPr="008932A7">
        <w:rPr>
          <w:rFonts w:asciiTheme="minorHAnsi" w:hAnsiTheme="minorHAnsi" w:cstheme="majorBidi"/>
        </w:rPr>
        <w:t>,</w:t>
      </w:r>
      <w:r w:rsidRPr="008932A7">
        <w:rPr>
          <w:rFonts w:asciiTheme="minorHAnsi" w:hAnsiTheme="minorHAnsi" w:cstheme="majorBidi"/>
        </w:rPr>
        <w:t xml:space="preserve"> </w:t>
      </w:r>
      <w:r w:rsidR="000A2FAD" w:rsidRPr="008932A7">
        <w:rPr>
          <w:rFonts w:asciiTheme="minorHAnsi" w:hAnsiTheme="minorHAnsi" w:cstheme="majorBidi"/>
        </w:rPr>
        <w:t>constituting</w:t>
      </w:r>
      <w:r w:rsidR="00E3433E" w:rsidRPr="008932A7">
        <w:rPr>
          <w:rFonts w:asciiTheme="minorHAnsi" w:hAnsiTheme="minorHAnsi" w:cstheme="majorBidi"/>
        </w:rPr>
        <w:t xml:space="preserve"> about </w:t>
      </w:r>
      <w:r w:rsidR="000B5559" w:rsidRPr="008932A7">
        <w:rPr>
          <w:rFonts w:asciiTheme="minorHAnsi" w:hAnsiTheme="minorHAnsi" w:cstheme="majorBidi"/>
        </w:rPr>
        <w:t>9</w:t>
      </w:r>
      <w:r w:rsidR="00156076" w:rsidRPr="008932A7">
        <w:rPr>
          <w:rFonts w:asciiTheme="minorHAnsi" w:hAnsiTheme="minorHAnsi" w:cstheme="majorBidi"/>
        </w:rPr>
        <w:t xml:space="preserve"> </w:t>
      </w:r>
      <w:r w:rsidR="00E3433E" w:rsidRPr="008932A7">
        <w:rPr>
          <w:rFonts w:asciiTheme="minorHAnsi" w:hAnsiTheme="minorHAnsi" w:cstheme="majorBidi"/>
        </w:rPr>
        <w:t>percent of the public’s asset portfolio.</w:t>
      </w:r>
    </w:p>
    <w:p w14:paraId="08E2116F" w14:textId="77777777" w:rsidR="00134A53" w:rsidRPr="008932A7" w:rsidRDefault="00134A53" w:rsidP="00134A53">
      <w:pPr>
        <w:bidi w:val="0"/>
        <w:spacing w:line="300" w:lineRule="exact"/>
        <w:jc w:val="both"/>
        <w:rPr>
          <w:rFonts w:asciiTheme="minorHAnsi" w:hAnsiTheme="minorHAnsi" w:cstheme="majorBidi"/>
        </w:rPr>
      </w:pPr>
    </w:p>
    <w:p w14:paraId="4EF162F8" w14:textId="00CE22BD" w:rsidR="00134A53" w:rsidRPr="008932A7" w:rsidRDefault="006A3AF5" w:rsidP="00134A53">
      <w:pPr>
        <w:bidi w:val="0"/>
        <w:spacing w:line="300" w:lineRule="exact"/>
        <w:jc w:val="both"/>
        <w:rPr>
          <w:rFonts w:asciiTheme="minorHAnsi" w:hAnsiTheme="minorHAnsi" w:cstheme="majorBidi"/>
        </w:rPr>
      </w:pPr>
      <w:r w:rsidRPr="008932A7">
        <w:rPr>
          <w:rFonts w:asciiTheme="minorHAnsi" w:hAnsiTheme="minorHAnsi" w:cstheme="majorBidi"/>
        </w:rPr>
        <w:t xml:space="preserve">The </w:t>
      </w:r>
      <w:r w:rsidR="00A76DF8" w:rsidRPr="008932A7">
        <w:rPr>
          <w:rFonts w:asciiTheme="minorHAnsi" w:hAnsiTheme="minorHAnsi" w:cstheme="majorBidi"/>
        </w:rPr>
        <w:t>increase</w:t>
      </w:r>
      <w:r w:rsidR="00EC215C" w:rsidRPr="008932A7">
        <w:rPr>
          <w:rFonts w:asciiTheme="minorHAnsi" w:hAnsiTheme="minorHAnsi" w:cstheme="majorBidi"/>
        </w:rPr>
        <w:t xml:space="preserve"> in the </w:t>
      </w:r>
      <w:r w:rsidR="000B5559" w:rsidRPr="008932A7">
        <w:rPr>
          <w:rFonts w:asciiTheme="minorHAnsi" w:hAnsiTheme="minorHAnsi" w:cstheme="majorBidi"/>
        </w:rPr>
        <w:t>second</w:t>
      </w:r>
      <w:r w:rsidR="006B32D0" w:rsidRPr="008932A7">
        <w:rPr>
          <w:rFonts w:asciiTheme="minorHAnsi" w:hAnsiTheme="minorHAnsi" w:cstheme="majorBidi"/>
        </w:rPr>
        <w:t xml:space="preserve"> quarter</w:t>
      </w:r>
      <w:r w:rsidRPr="008932A7">
        <w:rPr>
          <w:rFonts w:asciiTheme="minorHAnsi" w:hAnsiTheme="minorHAnsi" w:cstheme="majorBidi"/>
        </w:rPr>
        <w:t xml:space="preserve"> </w:t>
      </w:r>
      <w:r w:rsidR="000B5559" w:rsidRPr="008932A7">
        <w:rPr>
          <w:rFonts w:asciiTheme="minorHAnsi" w:hAnsiTheme="minorHAnsi" w:cstheme="majorBidi"/>
        </w:rPr>
        <w:t xml:space="preserve">was mainly due to </w:t>
      </w:r>
      <w:r w:rsidR="002749DD" w:rsidRPr="008932A7">
        <w:rPr>
          <w:rFonts w:asciiTheme="minorHAnsi" w:hAnsiTheme="minorHAnsi" w:cstheme="majorBidi"/>
        </w:rPr>
        <w:t xml:space="preserve">net </w:t>
      </w:r>
      <w:r w:rsidR="000B5559" w:rsidRPr="008932A7">
        <w:rPr>
          <w:rFonts w:asciiTheme="minorHAnsi" w:hAnsiTheme="minorHAnsi" w:cstheme="majorBidi"/>
        </w:rPr>
        <w:t xml:space="preserve">new </w:t>
      </w:r>
      <w:r w:rsidR="00BE0F6C" w:rsidRPr="008932A7">
        <w:rPr>
          <w:rFonts w:asciiTheme="minorHAnsi" w:hAnsiTheme="minorHAnsi" w:cstheme="majorBidi"/>
        </w:rPr>
        <w:t>investment</w:t>
      </w:r>
      <w:r w:rsidR="00E16423" w:rsidRPr="008932A7">
        <w:rPr>
          <w:rFonts w:asciiTheme="minorHAnsi" w:hAnsiTheme="minorHAnsi" w:cstheme="majorBidi"/>
        </w:rPr>
        <w:t xml:space="preserve"> in the funds</w:t>
      </w:r>
      <w:r w:rsidR="00766AD6" w:rsidRPr="008932A7">
        <w:rPr>
          <w:rFonts w:asciiTheme="minorHAnsi" w:hAnsiTheme="minorHAnsi" w:cstheme="majorBidi"/>
        </w:rPr>
        <w:t xml:space="preserve"> </w:t>
      </w:r>
      <w:r w:rsidR="00A76DF8" w:rsidRPr="008932A7">
        <w:rPr>
          <w:rFonts w:asciiTheme="minorHAnsi" w:hAnsiTheme="minorHAnsi" w:cstheme="majorBidi"/>
        </w:rPr>
        <w:t xml:space="preserve">totaling </w:t>
      </w:r>
      <w:r w:rsidR="00E16423" w:rsidRPr="008932A7">
        <w:rPr>
          <w:rFonts w:asciiTheme="minorHAnsi" w:hAnsiTheme="minorHAnsi" w:cstheme="majorBidi"/>
        </w:rPr>
        <w:t xml:space="preserve">about </w:t>
      </w:r>
      <w:r w:rsidR="00A76DF8" w:rsidRPr="008932A7">
        <w:rPr>
          <w:rFonts w:asciiTheme="minorHAnsi" w:hAnsiTheme="minorHAnsi" w:cstheme="majorBidi"/>
        </w:rPr>
        <w:t xml:space="preserve">NIS </w:t>
      </w:r>
      <w:r w:rsidR="000B5559" w:rsidRPr="008932A7">
        <w:rPr>
          <w:rFonts w:asciiTheme="minorHAnsi" w:hAnsiTheme="minorHAnsi" w:cstheme="majorBidi"/>
        </w:rPr>
        <w:t>17.8</w:t>
      </w:r>
      <w:r w:rsidR="001A3180" w:rsidRPr="008932A7">
        <w:rPr>
          <w:rFonts w:asciiTheme="minorHAnsi" w:hAnsiTheme="minorHAnsi" w:cstheme="majorBidi"/>
        </w:rPr>
        <w:t xml:space="preserve"> b</w:t>
      </w:r>
      <w:r w:rsidR="00E16423" w:rsidRPr="008932A7">
        <w:rPr>
          <w:rFonts w:asciiTheme="minorHAnsi" w:hAnsiTheme="minorHAnsi" w:cstheme="majorBidi"/>
        </w:rPr>
        <w:t>illion</w:t>
      </w:r>
      <w:r w:rsidR="00BB79C7" w:rsidRPr="008932A7">
        <w:rPr>
          <w:rFonts w:asciiTheme="minorHAnsi" w:hAnsiTheme="minorHAnsi" w:cstheme="majorBidi"/>
        </w:rPr>
        <w:t xml:space="preserve"> and from price increases</w:t>
      </w:r>
      <w:r w:rsidR="00E16423" w:rsidRPr="008932A7">
        <w:rPr>
          <w:rFonts w:asciiTheme="minorHAnsi" w:hAnsiTheme="minorHAnsi" w:cstheme="majorBidi"/>
        </w:rPr>
        <w:t>.</w:t>
      </w:r>
      <w:r w:rsidR="00A76DF8" w:rsidRPr="008932A7">
        <w:rPr>
          <w:rFonts w:asciiTheme="minorHAnsi" w:hAnsiTheme="minorHAnsi" w:cstheme="majorBidi"/>
        </w:rPr>
        <w:t xml:space="preserve"> Most of the new </w:t>
      </w:r>
      <w:r w:rsidR="00BE0F6C" w:rsidRPr="008932A7">
        <w:rPr>
          <w:rFonts w:asciiTheme="minorHAnsi" w:hAnsiTheme="minorHAnsi" w:cstheme="majorBidi"/>
        </w:rPr>
        <w:t xml:space="preserve">investment </w:t>
      </w:r>
      <w:r w:rsidR="00A76DF8" w:rsidRPr="008932A7">
        <w:rPr>
          <w:rFonts w:asciiTheme="minorHAnsi" w:hAnsiTheme="minorHAnsi" w:cstheme="majorBidi"/>
        </w:rPr>
        <w:t>was in shekel money market funds</w:t>
      </w:r>
      <w:r w:rsidR="00847A61" w:rsidRPr="008932A7">
        <w:rPr>
          <w:rFonts w:asciiTheme="minorHAnsi" w:hAnsiTheme="minorHAnsi" w:cstheme="majorBidi"/>
        </w:rPr>
        <w:t>,</w:t>
      </w:r>
      <w:r w:rsidR="00A76DF8" w:rsidRPr="008932A7">
        <w:rPr>
          <w:rFonts w:asciiTheme="minorHAnsi" w:hAnsiTheme="minorHAnsi" w:cstheme="majorBidi"/>
        </w:rPr>
        <w:t xml:space="preserve"> totaling </w:t>
      </w:r>
      <w:r w:rsidR="00C66406" w:rsidRPr="008932A7">
        <w:rPr>
          <w:rFonts w:asciiTheme="minorHAnsi" w:hAnsiTheme="minorHAnsi" w:cstheme="majorBidi"/>
        </w:rPr>
        <w:t xml:space="preserve">approximately </w:t>
      </w:r>
      <w:r w:rsidR="00A76DF8" w:rsidRPr="008932A7">
        <w:rPr>
          <w:rFonts w:asciiTheme="minorHAnsi" w:hAnsiTheme="minorHAnsi" w:cstheme="majorBidi"/>
        </w:rPr>
        <w:t xml:space="preserve">NIS </w:t>
      </w:r>
      <w:r w:rsidR="000B5559" w:rsidRPr="008932A7">
        <w:rPr>
          <w:rFonts w:asciiTheme="minorHAnsi" w:hAnsiTheme="minorHAnsi" w:cstheme="majorBidi"/>
        </w:rPr>
        <w:t>9.9</w:t>
      </w:r>
      <w:r w:rsidR="003D3B74" w:rsidRPr="008932A7">
        <w:rPr>
          <w:rFonts w:asciiTheme="minorHAnsi" w:hAnsiTheme="minorHAnsi" w:cstheme="majorBidi"/>
        </w:rPr>
        <w:t xml:space="preserve"> </w:t>
      </w:r>
      <w:r w:rsidR="00A76DF8" w:rsidRPr="008932A7">
        <w:rPr>
          <w:rFonts w:asciiTheme="minorHAnsi" w:hAnsiTheme="minorHAnsi" w:cstheme="majorBidi"/>
        </w:rPr>
        <w:t>billion</w:t>
      </w:r>
      <w:r w:rsidR="001A3180" w:rsidRPr="008932A7">
        <w:rPr>
          <w:rFonts w:asciiTheme="minorHAnsi" w:hAnsiTheme="minorHAnsi" w:cstheme="majorBidi"/>
        </w:rPr>
        <w:t>,</w:t>
      </w:r>
      <w:r w:rsidR="000B5559" w:rsidRPr="008932A7">
        <w:rPr>
          <w:rFonts w:asciiTheme="minorHAnsi" w:hAnsiTheme="minorHAnsi" w:cstheme="majorBidi"/>
        </w:rPr>
        <w:t xml:space="preserve"> </w:t>
      </w:r>
      <w:r w:rsidR="005229FB" w:rsidRPr="008932A7">
        <w:rPr>
          <w:rFonts w:asciiTheme="minorHAnsi" w:hAnsiTheme="minorHAnsi" w:cstheme="majorBidi"/>
        </w:rPr>
        <w:t xml:space="preserve">and in </w:t>
      </w:r>
      <w:r w:rsidR="000B5559" w:rsidRPr="008932A7">
        <w:rPr>
          <w:rFonts w:asciiTheme="minorHAnsi" w:hAnsiTheme="minorHAnsi" w:cstheme="majorBidi"/>
        </w:rPr>
        <w:t xml:space="preserve">funds specializing in equities abroad, </w:t>
      </w:r>
      <w:r w:rsidR="005229FB" w:rsidRPr="008932A7">
        <w:rPr>
          <w:rFonts w:asciiTheme="minorHAnsi" w:hAnsiTheme="minorHAnsi" w:cstheme="majorBidi"/>
        </w:rPr>
        <w:t>totaling about</w:t>
      </w:r>
      <w:r w:rsidR="000B5559" w:rsidRPr="008932A7">
        <w:rPr>
          <w:rFonts w:asciiTheme="minorHAnsi" w:hAnsiTheme="minorHAnsi" w:cstheme="majorBidi"/>
        </w:rPr>
        <w:t xml:space="preserve"> NIS 6.</w:t>
      </w:r>
      <w:r w:rsidR="005229FB" w:rsidRPr="008932A7">
        <w:rPr>
          <w:rFonts w:asciiTheme="minorHAnsi" w:hAnsiTheme="minorHAnsi" w:cstheme="majorBidi"/>
        </w:rPr>
        <w:t>6</w:t>
      </w:r>
      <w:r w:rsidR="000B5559" w:rsidRPr="008932A7">
        <w:rPr>
          <w:rFonts w:asciiTheme="minorHAnsi" w:hAnsiTheme="minorHAnsi" w:cstheme="majorBidi"/>
        </w:rPr>
        <w:t xml:space="preserve"> billion</w:t>
      </w:r>
      <w:r w:rsidR="003D3B74" w:rsidRPr="008932A7">
        <w:rPr>
          <w:rFonts w:asciiTheme="minorHAnsi" w:hAnsiTheme="minorHAnsi" w:cstheme="majorBidi"/>
        </w:rPr>
        <w:t xml:space="preserve">. </w:t>
      </w:r>
    </w:p>
    <w:p w14:paraId="7F17557E" w14:textId="192FCEB1" w:rsidR="00134A53" w:rsidRPr="008932A7" w:rsidRDefault="00134A53" w:rsidP="00134A53">
      <w:pPr>
        <w:bidi w:val="0"/>
        <w:spacing w:line="300" w:lineRule="exact"/>
        <w:jc w:val="both"/>
        <w:rPr>
          <w:rFonts w:asciiTheme="minorHAnsi" w:hAnsiTheme="minorHAnsi" w:cstheme="majorBidi"/>
        </w:rPr>
      </w:pPr>
    </w:p>
    <w:p w14:paraId="511B2D5D" w14:textId="5EACD296" w:rsidR="00134A53" w:rsidRPr="008932A7" w:rsidRDefault="00134A53" w:rsidP="007E422E">
      <w:pPr>
        <w:pStyle w:val="regpar"/>
        <w:ind w:firstLine="0"/>
        <w:jc w:val="left"/>
        <w:outlineLvl w:val="0"/>
        <w:rPr>
          <w:rFonts w:asciiTheme="minorHAnsi" w:hAnsiTheme="minorHAnsi" w:cstheme="majorBidi"/>
          <w:b/>
          <w:bCs/>
        </w:rPr>
      </w:pPr>
      <w:r w:rsidRPr="008932A7">
        <w:rPr>
          <w:rFonts w:asciiTheme="minorHAnsi" w:hAnsiTheme="minorHAnsi" w:cstheme="majorBidi"/>
          <w:noProof/>
          <w:lang w:eastAsia="en-US" w:bidi="he-IL"/>
        </w:rPr>
        <w:lastRenderedPageBreak/>
        <w:drawing>
          <wp:anchor distT="0" distB="0" distL="114300" distR="114300" simplePos="0" relativeHeight="251680768" behindDoc="0" locked="0" layoutInCell="1" allowOverlap="1" wp14:anchorId="50F2D259" wp14:editId="2952A13F">
            <wp:simplePos x="0" y="0"/>
            <wp:positionH relativeFrom="margin">
              <wp:align>center</wp:align>
            </wp:positionH>
            <wp:positionV relativeFrom="paragraph">
              <wp:posOffset>0</wp:posOffset>
            </wp:positionV>
            <wp:extent cx="5633085" cy="2316480"/>
            <wp:effectExtent l="0" t="0" r="5715" b="7620"/>
            <wp:wrapSquare wrapText="bothSides"/>
            <wp:docPr id="18" name="תמונה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33085" cy="2316480"/>
                    </a:xfrm>
                    <a:prstGeom prst="rect">
                      <a:avLst/>
                    </a:prstGeom>
                    <a:noFill/>
                  </pic:spPr>
                </pic:pic>
              </a:graphicData>
            </a:graphic>
          </wp:anchor>
        </w:drawing>
      </w:r>
    </w:p>
    <w:p w14:paraId="4A1BB88E" w14:textId="0704D004" w:rsidR="00030E0F" w:rsidRPr="008932A7" w:rsidRDefault="00FA1969" w:rsidP="007E422E">
      <w:pPr>
        <w:pStyle w:val="regpar"/>
        <w:ind w:firstLine="0"/>
        <w:jc w:val="left"/>
        <w:outlineLvl w:val="0"/>
        <w:rPr>
          <w:rFonts w:asciiTheme="minorHAnsi" w:hAnsiTheme="minorHAnsi" w:cstheme="majorBidi"/>
          <w:b/>
          <w:bCs/>
        </w:rPr>
      </w:pPr>
      <w:r w:rsidRPr="008932A7">
        <w:rPr>
          <w:rFonts w:asciiTheme="minorHAnsi" w:hAnsiTheme="minorHAnsi" w:cstheme="majorBidi"/>
          <w:b/>
          <w:bCs/>
        </w:rPr>
        <w:t>Further information and details:</w:t>
      </w:r>
    </w:p>
    <w:p w14:paraId="248400D8" w14:textId="0CECA9D7" w:rsidR="00030E0F" w:rsidRPr="008932A7" w:rsidRDefault="00030E0F" w:rsidP="007E422E">
      <w:pPr>
        <w:pStyle w:val="regpar"/>
        <w:ind w:firstLine="0"/>
        <w:jc w:val="left"/>
        <w:outlineLvl w:val="0"/>
        <w:rPr>
          <w:rFonts w:asciiTheme="minorHAnsi" w:hAnsiTheme="minorHAnsi" w:cstheme="majorBidi"/>
        </w:rPr>
      </w:pPr>
    </w:p>
    <w:p w14:paraId="77212F77" w14:textId="6FB1DCF4" w:rsidR="00030E0F" w:rsidRPr="008932A7" w:rsidRDefault="00030E0F" w:rsidP="007E422E">
      <w:pPr>
        <w:pStyle w:val="regpar"/>
        <w:ind w:firstLine="0"/>
        <w:jc w:val="left"/>
        <w:outlineLvl w:val="0"/>
        <w:rPr>
          <w:rFonts w:asciiTheme="minorHAnsi" w:hAnsiTheme="minorHAnsi" w:cstheme="majorBidi"/>
        </w:rPr>
      </w:pPr>
      <w:r w:rsidRPr="008932A7">
        <w:rPr>
          <w:rFonts w:asciiTheme="minorHAnsi" w:hAnsiTheme="minorHAnsi" w:cstheme="majorBidi"/>
        </w:rPr>
        <w:t>Long-term tables on the asset portfolio are available here.</w:t>
      </w:r>
    </w:p>
    <w:p w14:paraId="4F26CFA2" w14:textId="35DD4F35" w:rsidR="00030E0F" w:rsidRPr="008932A7" w:rsidRDefault="00030E0F" w:rsidP="007E422E">
      <w:pPr>
        <w:pStyle w:val="regpar"/>
        <w:ind w:firstLine="0"/>
        <w:jc w:val="left"/>
        <w:outlineLvl w:val="0"/>
        <w:rPr>
          <w:rFonts w:asciiTheme="minorHAnsi" w:hAnsiTheme="minorHAnsi" w:cstheme="majorBidi"/>
        </w:rPr>
      </w:pPr>
      <w:r w:rsidRPr="008932A7">
        <w:rPr>
          <w:rFonts w:asciiTheme="minorHAnsi" w:hAnsiTheme="minorHAnsi" w:cstheme="majorBidi"/>
        </w:rPr>
        <w:t>Long-term tables on institutional investors’ exposure to foreign exchange and to foreign assets are available here.</w:t>
      </w:r>
    </w:p>
    <w:p w14:paraId="1EF846CE" w14:textId="3D5CD2F9" w:rsidR="00030E0F" w:rsidRPr="008932A7" w:rsidRDefault="00030E0F" w:rsidP="007E422E">
      <w:pPr>
        <w:pStyle w:val="regpar"/>
        <w:ind w:firstLine="0"/>
        <w:jc w:val="left"/>
        <w:outlineLvl w:val="0"/>
        <w:rPr>
          <w:rFonts w:asciiTheme="minorHAnsi" w:hAnsiTheme="minorHAnsi" w:cstheme="majorBidi"/>
        </w:rPr>
      </w:pPr>
      <w:r w:rsidRPr="008932A7">
        <w:rPr>
          <w:rFonts w:asciiTheme="minorHAnsi" w:hAnsiTheme="minorHAnsi" w:cstheme="majorBidi"/>
        </w:rPr>
        <w:t>Long-term tables on mutual funds are available here.</w:t>
      </w:r>
      <w:r w:rsidR="00BE513C" w:rsidRPr="008932A7">
        <w:rPr>
          <w:rFonts w:asciiTheme="minorHAnsi" w:hAnsiTheme="minorHAnsi" w:cstheme="majorBidi"/>
        </w:rPr>
        <w:t xml:space="preserve"> </w:t>
      </w:r>
    </w:p>
    <w:sectPr w:rsidR="00030E0F" w:rsidRPr="008932A7" w:rsidSect="009E75D5">
      <w:footerReference w:type="default" r:id="rId16"/>
      <w:footerReference w:type="first" r:id="rId17"/>
      <w:pgSz w:w="11906" w:h="16838"/>
      <w:pgMar w:top="1440" w:right="1080" w:bottom="1440" w:left="1080" w:header="709" w:footer="709"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02982A" w14:textId="77777777" w:rsidR="00E60FEA" w:rsidRDefault="00E60FEA">
      <w:r>
        <w:separator/>
      </w:r>
    </w:p>
  </w:endnote>
  <w:endnote w:type="continuationSeparator" w:id="0">
    <w:p w14:paraId="4941FA83" w14:textId="77777777" w:rsidR="00E60FEA" w:rsidRDefault="00E60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2EC83F" w14:textId="54C6DEBA" w:rsidR="00FA1969" w:rsidRPr="00FA1969" w:rsidRDefault="00EC4C48" w:rsidP="009A0410">
    <w:pPr>
      <w:bidi w:val="0"/>
      <w:spacing w:line="300" w:lineRule="exact"/>
      <w:rPr>
        <w:sz w:val="20"/>
        <w:szCs w:val="20"/>
        <w:rtl/>
        <w:cs/>
      </w:rPr>
    </w:pPr>
    <w:r>
      <w:rPr>
        <w:sz w:val="20"/>
        <w:szCs w:val="20"/>
      </w:rPr>
      <w:t xml:space="preserve">Bank of Israel – The Public’s Financial Assets Portfolio, </w:t>
    </w:r>
    <w:r w:rsidR="009A0410">
      <w:rPr>
        <w:sz w:val="20"/>
        <w:szCs w:val="20"/>
      </w:rPr>
      <w:t xml:space="preserve">Second </w:t>
    </w:r>
    <w:r>
      <w:rPr>
        <w:sz w:val="20"/>
        <w:szCs w:val="20"/>
      </w:rPr>
      <w:t xml:space="preserve">Quarter of </w:t>
    </w:r>
    <w:r w:rsidR="003316A5">
      <w:rPr>
        <w:sz w:val="20"/>
        <w:szCs w:val="20"/>
      </w:rPr>
      <w:t>2024</w:t>
    </w:r>
    <w:r>
      <w:rPr>
        <w:sz w:val="20"/>
        <w:szCs w:val="20"/>
      </w:rPr>
      <w:t>.</w:t>
    </w:r>
    <w:r w:rsidR="00FA1969">
      <w:rPr>
        <w:sz w:val="20"/>
        <w:szCs w:val="20"/>
      </w:rPr>
      <w:tab/>
    </w:r>
    <w:r w:rsidR="00FA1969">
      <w:rPr>
        <w:sz w:val="20"/>
        <w:szCs w:val="20"/>
      </w:rPr>
      <w:tab/>
    </w:r>
    <w:r w:rsidR="00FA1969">
      <w:rPr>
        <w:sz w:val="20"/>
        <w:szCs w:val="20"/>
      </w:rPr>
      <w:tab/>
    </w:r>
    <w:r w:rsidR="00FA1969" w:rsidRPr="00FA1969">
      <w:rPr>
        <w:sz w:val="20"/>
        <w:szCs w:val="20"/>
      </w:rPr>
      <w:t xml:space="preserve"> Page</w:t>
    </w:r>
    <w:r w:rsidR="00FA1969" w:rsidRPr="00FA1969">
      <w:rPr>
        <w:sz w:val="20"/>
        <w:szCs w:val="20"/>
        <w:rtl/>
        <w:cs/>
      </w:rPr>
      <w:t xml:space="preserve"> </w:t>
    </w:r>
    <w:r w:rsidR="00FA1969" w:rsidRPr="00FA1969">
      <w:rPr>
        <w:sz w:val="20"/>
        <w:szCs w:val="20"/>
      </w:rPr>
      <w:fldChar w:fldCharType="begin"/>
    </w:r>
    <w:r w:rsidR="00FA1969" w:rsidRPr="00FA1969">
      <w:rPr>
        <w:sz w:val="20"/>
        <w:szCs w:val="20"/>
        <w:rtl/>
        <w:cs/>
      </w:rPr>
      <w:instrText>PAGE</w:instrText>
    </w:r>
    <w:r w:rsidR="00FA1969" w:rsidRPr="00FA1969">
      <w:rPr>
        <w:sz w:val="20"/>
        <w:szCs w:val="20"/>
      </w:rPr>
      <w:fldChar w:fldCharType="separate"/>
    </w:r>
    <w:r w:rsidR="008932A7">
      <w:rPr>
        <w:noProof/>
        <w:sz w:val="20"/>
        <w:szCs w:val="20"/>
      </w:rPr>
      <w:t>6</w:t>
    </w:r>
    <w:r w:rsidR="00FA1969" w:rsidRPr="00FA1969">
      <w:rPr>
        <w:sz w:val="20"/>
        <w:szCs w:val="20"/>
      </w:rPr>
      <w:fldChar w:fldCharType="end"/>
    </w:r>
    <w:r w:rsidR="00FA1969" w:rsidRPr="00FA1969">
      <w:rPr>
        <w:sz w:val="20"/>
        <w:szCs w:val="20"/>
      </w:rPr>
      <w:t xml:space="preserve"> Of</w:t>
    </w:r>
    <w:r w:rsidR="00FA1969" w:rsidRPr="00FA1969">
      <w:rPr>
        <w:sz w:val="20"/>
        <w:szCs w:val="20"/>
        <w:rtl/>
        <w:cs/>
      </w:rPr>
      <w:t xml:space="preserve"> </w:t>
    </w:r>
    <w:r w:rsidR="00FA1969" w:rsidRPr="00FA1969">
      <w:rPr>
        <w:sz w:val="20"/>
        <w:szCs w:val="20"/>
      </w:rPr>
      <w:fldChar w:fldCharType="begin"/>
    </w:r>
    <w:r w:rsidR="00FA1969" w:rsidRPr="00FA1969">
      <w:rPr>
        <w:sz w:val="20"/>
        <w:szCs w:val="20"/>
        <w:rtl/>
        <w:cs/>
      </w:rPr>
      <w:instrText>NUMPAGES</w:instrText>
    </w:r>
    <w:r w:rsidR="00FA1969" w:rsidRPr="00FA1969">
      <w:rPr>
        <w:sz w:val="20"/>
        <w:szCs w:val="20"/>
      </w:rPr>
      <w:fldChar w:fldCharType="separate"/>
    </w:r>
    <w:r w:rsidR="008932A7">
      <w:rPr>
        <w:noProof/>
        <w:sz w:val="20"/>
        <w:szCs w:val="20"/>
      </w:rPr>
      <w:t>6</w:t>
    </w:r>
    <w:r w:rsidR="00FA1969" w:rsidRPr="00FA1969">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86564" w14:textId="59693D79" w:rsidR="00FA1969" w:rsidRPr="00883CEC" w:rsidRDefault="00FA1969" w:rsidP="00A851AB">
    <w:pPr>
      <w:pStyle w:val="regpar"/>
      <w:jc w:val="left"/>
      <w:outlineLvl w:val="0"/>
      <w:rPr>
        <w:sz w:val="20"/>
        <w:szCs w:val="20"/>
        <w:rtl/>
        <w:cs/>
      </w:rPr>
    </w:pPr>
    <w:r>
      <w:rPr>
        <w:sz w:val="20"/>
        <w:szCs w:val="20"/>
      </w:rPr>
      <w:t xml:space="preserve">Bank of Israel </w:t>
    </w:r>
    <w:r w:rsidR="00BB70FB">
      <w:rPr>
        <w:sz w:val="20"/>
        <w:szCs w:val="20"/>
      </w:rPr>
      <w:t>–</w:t>
    </w:r>
    <w:r>
      <w:rPr>
        <w:sz w:val="20"/>
        <w:szCs w:val="20"/>
      </w:rPr>
      <w:t xml:space="preserve"> </w:t>
    </w:r>
    <w:r w:rsidR="00BB70FB">
      <w:rPr>
        <w:sz w:val="20"/>
        <w:szCs w:val="20"/>
      </w:rPr>
      <w:t xml:space="preserve">The </w:t>
    </w:r>
    <w:r w:rsidR="00644071">
      <w:rPr>
        <w:sz w:val="20"/>
        <w:szCs w:val="20"/>
      </w:rPr>
      <w:t>Public</w:t>
    </w:r>
    <w:r w:rsidR="00BB70FB">
      <w:rPr>
        <w:sz w:val="20"/>
        <w:szCs w:val="20"/>
      </w:rPr>
      <w:t>’s</w:t>
    </w:r>
    <w:r w:rsidR="00644071">
      <w:rPr>
        <w:sz w:val="20"/>
        <w:szCs w:val="20"/>
      </w:rPr>
      <w:t xml:space="preserve"> </w:t>
    </w:r>
    <w:r w:rsidR="00BB70FB">
      <w:rPr>
        <w:sz w:val="20"/>
        <w:szCs w:val="20"/>
      </w:rPr>
      <w:t xml:space="preserve">Financial </w:t>
    </w:r>
    <w:r w:rsidR="00644071">
      <w:rPr>
        <w:sz w:val="20"/>
        <w:szCs w:val="20"/>
      </w:rPr>
      <w:t>Asset</w:t>
    </w:r>
    <w:r w:rsidR="00BB70FB">
      <w:rPr>
        <w:sz w:val="20"/>
        <w:szCs w:val="20"/>
      </w:rPr>
      <w:t>s</w:t>
    </w:r>
    <w:r w:rsidR="00644071">
      <w:rPr>
        <w:sz w:val="20"/>
        <w:szCs w:val="20"/>
      </w:rPr>
      <w:t xml:space="preserve"> Portfolio, </w:t>
    </w:r>
    <w:r w:rsidR="00A851AB">
      <w:rPr>
        <w:sz w:val="20"/>
        <w:szCs w:val="20"/>
      </w:rPr>
      <w:t>Second</w:t>
    </w:r>
    <w:r w:rsidR="00BF367C">
      <w:rPr>
        <w:sz w:val="20"/>
        <w:szCs w:val="20"/>
      </w:rPr>
      <w:t xml:space="preserve"> </w:t>
    </w:r>
    <w:r w:rsidR="004C343B">
      <w:rPr>
        <w:sz w:val="20"/>
        <w:szCs w:val="20"/>
      </w:rPr>
      <w:t>Q</w:t>
    </w:r>
    <w:r w:rsidR="00BF367C">
      <w:rPr>
        <w:sz w:val="20"/>
        <w:szCs w:val="20"/>
      </w:rPr>
      <w:t xml:space="preserve">uarter </w:t>
    </w:r>
    <w:r w:rsidR="00B228AF">
      <w:rPr>
        <w:sz w:val="20"/>
        <w:szCs w:val="20"/>
      </w:rPr>
      <w:t>of</w:t>
    </w:r>
    <w:r w:rsidR="00644071">
      <w:rPr>
        <w:sz w:val="20"/>
        <w:szCs w:val="20"/>
      </w:rPr>
      <w:t xml:space="preserve"> </w:t>
    </w:r>
    <w:r w:rsidR="003316A5">
      <w:rPr>
        <w:sz w:val="20"/>
        <w:szCs w:val="20"/>
      </w:rPr>
      <w:t>2024</w:t>
    </w:r>
    <w:r w:rsidR="00BB70FB">
      <w:rPr>
        <w:sz w:val="20"/>
        <w:szCs w:val="20"/>
      </w:rPr>
      <w:t>.</w:t>
    </w:r>
    <w:r>
      <w:rPr>
        <w:sz w:val="20"/>
        <w:szCs w:val="20"/>
      </w:rPr>
      <w:tab/>
    </w:r>
    <w:r>
      <w:rPr>
        <w:sz w:val="20"/>
        <w:szCs w:val="20"/>
      </w:rPr>
      <w:tab/>
    </w:r>
    <w:r w:rsidRPr="00B96022">
      <w:rPr>
        <w:sz w:val="20"/>
        <w:szCs w:val="20"/>
      </w:rPr>
      <w:t>Page</w:t>
    </w:r>
    <w:r w:rsidRPr="00883CEC">
      <w:rPr>
        <w:sz w:val="20"/>
        <w:szCs w:val="20"/>
        <w:rtl/>
        <w:cs/>
      </w:rPr>
      <w:t xml:space="preserve"> </w:t>
    </w:r>
    <w:r w:rsidRPr="00883CEC">
      <w:rPr>
        <w:sz w:val="20"/>
        <w:szCs w:val="20"/>
      </w:rPr>
      <w:fldChar w:fldCharType="begin"/>
    </w:r>
    <w:r w:rsidRPr="00883CEC">
      <w:rPr>
        <w:sz w:val="20"/>
        <w:szCs w:val="20"/>
        <w:rtl/>
        <w:cs/>
      </w:rPr>
      <w:instrText>PAGE</w:instrText>
    </w:r>
    <w:r w:rsidRPr="00883CEC">
      <w:rPr>
        <w:sz w:val="20"/>
        <w:szCs w:val="20"/>
      </w:rPr>
      <w:fldChar w:fldCharType="separate"/>
    </w:r>
    <w:r w:rsidR="008932A7">
      <w:rPr>
        <w:noProof/>
        <w:sz w:val="20"/>
        <w:szCs w:val="20"/>
      </w:rPr>
      <w:t>1</w:t>
    </w:r>
    <w:r w:rsidRPr="00883CEC">
      <w:rPr>
        <w:sz w:val="20"/>
        <w:szCs w:val="20"/>
      </w:rPr>
      <w:fldChar w:fldCharType="end"/>
    </w:r>
    <w:r w:rsidRPr="00B96022">
      <w:rPr>
        <w:sz w:val="20"/>
        <w:szCs w:val="20"/>
      </w:rPr>
      <w:t xml:space="preserve"> Of</w:t>
    </w:r>
    <w:r w:rsidRPr="00883CEC">
      <w:rPr>
        <w:sz w:val="20"/>
        <w:szCs w:val="20"/>
        <w:rtl/>
        <w:cs/>
      </w:rPr>
      <w:t xml:space="preserve"> </w:t>
    </w:r>
    <w:r w:rsidRPr="00883CEC">
      <w:rPr>
        <w:sz w:val="20"/>
        <w:szCs w:val="20"/>
      </w:rPr>
      <w:fldChar w:fldCharType="begin"/>
    </w:r>
    <w:r w:rsidRPr="00883CEC">
      <w:rPr>
        <w:sz w:val="20"/>
        <w:szCs w:val="20"/>
        <w:rtl/>
        <w:cs/>
      </w:rPr>
      <w:instrText>NUMPAGES</w:instrText>
    </w:r>
    <w:r w:rsidRPr="00883CEC">
      <w:rPr>
        <w:sz w:val="20"/>
        <w:szCs w:val="20"/>
      </w:rPr>
      <w:fldChar w:fldCharType="separate"/>
    </w:r>
    <w:r w:rsidR="008932A7">
      <w:rPr>
        <w:noProof/>
        <w:sz w:val="20"/>
        <w:szCs w:val="20"/>
      </w:rPr>
      <w:t>6</w:t>
    </w:r>
    <w:r w:rsidRPr="00883CEC">
      <w:rPr>
        <w:sz w:val="20"/>
        <w:szCs w:val="20"/>
      </w:rPr>
      <w:fldChar w:fldCharType="end"/>
    </w:r>
  </w:p>
  <w:p w14:paraId="1706978B" w14:textId="77777777" w:rsidR="00527385" w:rsidRPr="00FA1969" w:rsidRDefault="00527385" w:rsidP="00FA1969">
    <w:pPr>
      <w:pStyle w:val="a4"/>
      <w:rPr>
        <w:rtl/>
        <w:lang w:bidi="ar-S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0132CA" w14:textId="77777777" w:rsidR="00E60FEA" w:rsidRDefault="00E60FEA">
      <w:r>
        <w:separator/>
      </w:r>
    </w:p>
  </w:footnote>
  <w:footnote w:type="continuationSeparator" w:id="0">
    <w:p w14:paraId="5F1F6B6A" w14:textId="77777777" w:rsidR="00E60FEA" w:rsidRDefault="00E60FEA">
      <w:r>
        <w:continuationSeparator/>
      </w:r>
    </w:p>
  </w:footnote>
  <w:footnote w:id="1">
    <w:p w14:paraId="28D7B6E0" w14:textId="77777777" w:rsidR="00DF0119" w:rsidRDefault="00DF0119" w:rsidP="00DF0119">
      <w:pPr>
        <w:pStyle w:val="a7"/>
        <w:bidi w:val="0"/>
      </w:pPr>
      <w:r>
        <w:rPr>
          <w:rStyle w:val="a8"/>
        </w:rPr>
        <w:footnoteRef/>
      </w:r>
      <w:r>
        <w:t xml:space="preserve"> Excluding mutual funds.</w:t>
      </w:r>
    </w:p>
  </w:footnote>
  <w:footnote w:id="2">
    <w:p w14:paraId="768F7FB2" w14:textId="1B22A2B3" w:rsidR="004A407B" w:rsidRDefault="004A407B" w:rsidP="0004599E">
      <w:pPr>
        <w:pStyle w:val="a7"/>
        <w:bidi w:val="0"/>
      </w:pPr>
      <w:r w:rsidRPr="00203A86">
        <w:rPr>
          <w:rStyle w:val="a8"/>
        </w:rPr>
        <w:footnoteRef/>
      </w:r>
      <w:r w:rsidRPr="00203A86">
        <w:rPr>
          <w:rtl/>
        </w:rPr>
        <w:t xml:space="preserve"> </w:t>
      </w:r>
      <w:r w:rsidR="00D879B5" w:rsidRPr="00203A86">
        <w:t>Estimates of members’ exposure (rather than exposure of the institutional investors themselves) to various risks in the portfolio managed for them by the institutional investors (excluding insurance policies with a guaranteed yield, where the risk is taken on by the institutional investors).</w:t>
      </w:r>
      <w:r w:rsidR="00CC1271" w:rsidRPr="00203A86">
        <w:t xml:space="preserve"> For additional details on definitions, terms, and explanations, see “Measuring the Exposures of Institutional Investors to Foreign Currency and to Foreign Assets” in the Bank</w:t>
      </w:r>
      <w:r w:rsidR="00CF0180">
        <w:t xml:space="preserve"> of Israel</w:t>
      </w:r>
      <w:r w:rsidR="00CC1271" w:rsidRPr="00203A86">
        <w:t xml:space="preserve">’s </w:t>
      </w:r>
      <w:r w:rsidR="00CC1271" w:rsidRPr="000B5559">
        <w:rPr>
          <w:i/>
          <w:iCs/>
        </w:rPr>
        <w:t>Statistical Bulletin</w:t>
      </w:r>
      <w:r w:rsidR="00CC1271" w:rsidRPr="00203A86">
        <w:t xml:space="preserve"> for 2016</w:t>
      </w:r>
      <w:r w:rsidR="0004599E" w:rsidRPr="00203A86">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20D1B"/>
    <w:multiLevelType w:val="hybridMultilevel"/>
    <w:tmpl w:val="CFEAEA3A"/>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390A0C"/>
    <w:multiLevelType w:val="hybridMultilevel"/>
    <w:tmpl w:val="1C124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9976DF"/>
    <w:multiLevelType w:val="hybridMultilevel"/>
    <w:tmpl w:val="2A148A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0FF2751"/>
    <w:multiLevelType w:val="hybridMultilevel"/>
    <w:tmpl w:val="0DEEE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D803CB"/>
    <w:multiLevelType w:val="hybridMultilevel"/>
    <w:tmpl w:val="4A9A7706"/>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66605F3"/>
    <w:multiLevelType w:val="hybridMultilevel"/>
    <w:tmpl w:val="B30C4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594805"/>
    <w:multiLevelType w:val="hybridMultilevel"/>
    <w:tmpl w:val="A8BCD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5A3B03"/>
    <w:multiLevelType w:val="multilevel"/>
    <w:tmpl w:val="A4E44050"/>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B61592"/>
    <w:multiLevelType w:val="hybridMultilevel"/>
    <w:tmpl w:val="47BEB7D0"/>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9745DF"/>
    <w:multiLevelType w:val="hybridMultilevel"/>
    <w:tmpl w:val="6018DF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A27C0C"/>
    <w:multiLevelType w:val="hybridMultilevel"/>
    <w:tmpl w:val="5B88046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C7A46D6"/>
    <w:multiLevelType w:val="hybridMultilevel"/>
    <w:tmpl w:val="75F83FFC"/>
    <w:lvl w:ilvl="0" w:tplc="DB888D32">
      <w:start w:val="1"/>
      <w:numFmt w:val="bullet"/>
      <w:lvlText w:val=""/>
      <w:lvlJc w:val="left"/>
      <w:pPr>
        <w:tabs>
          <w:tab w:val="num" w:pos="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1440138"/>
    <w:multiLevelType w:val="hybridMultilevel"/>
    <w:tmpl w:val="8FE6CDB6"/>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3427E5E"/>
    <w:multiLevelType w:val="hybridMultilevel"/>
    <w:tmpl w:val="B40844E8"/>
    <w:lvl w:ilvl="0" w:tplc="82020CE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4A3A5F80"/>
    <w:multiLevelType w:val="hybridMultilevel"/>
    <w:tmpl w:val="1E8C5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BA0AB1"/>
    <w:multiLevelType w:val="hybridMultilevel"/>
    <w:tmpl w:val="0B4A8B58"/>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C495A6B"/>
    <w:multiLevelType w:val="hybridMultilevel"/>
    <w:tmpl w:val="5F8CFB40"/>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C721EA"/>
    <w:multiLevelType w:val="hybridMultilevel"/>
    <w:tmpl w:val="A4E44050"/>
    <w:lvl w:ilvl="0" w:tplc="4B128684">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1434EF0"/>
    <w:multiLevelType w:val="hybridMultilevel"/>
    <w:tmpl w:val="154425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D067F0E"/>
    <w:multiLevelType w:val="hybridMultilevel"/>
    <w:tmpl w:val="3B941A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10969B0"/>
    <w:multiLevelType w:val="hybridMultilevel"/>
    <w:tmpl w:val="331E9492"/>
    <w:lvl w:ilvl="0" w:tplc="C45ED432">
      <w:start w:val="1"/>
      <w:numFmt w:val="decimal"/>
      <w:lvlText w:val="%1."/>
      <w:lvlJc w:val="left"/>
      <w:pPr>
        <w:tabs>
          <w:tab w:val="num" w:pos="3120"/>
        </w:tabs>
        <w:ind w:left="3120" w:hanging="27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DE37DDA"/>
    <w:multiLevelType w:val="multilevel"/>
    <w:tmpl w:val="E758B9D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12B5E70"/>
    <w:multiLevelType w:val="hybridMultilevel"/>
    <w:tmpl w:val="1820034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72450E37"/>
    <w:multiLevelType w:val="hybridMultilevel"/>
    <w:tmpl w:val="162E6284"/>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88F6054"/>
    <w:multiLevelType w:val="hybridMultilevel"/>
    <w:tmpl w:val="9CB69E08"/>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15"/>
  </w:num>
  <w:num w:numId="3">
    <w:abstractNumId w:val="4"/>
  </w:num>
  <w:num w:numId="4">
    <w:abstractNumId w:val="12"/>
  </w:num>
  <w:num w:numId="5">
    <w:abstractNumId w:val="22"/>
  </w:num>
  <w:num w:numId="6">
    <w:abstractNumId w:val="11"/>
  </w:num>
  <w:num w:numId="7">
    <w:abstractNumId w:val="19"/>
  </w:num>
  <w:num w:numId="8">
    <w:abstractNumId w:val="13"/>
  </w:num>
  <w:num w:numId="9">
    <w:abstractNumId w:val="0"/>
  </w:num>
  <w:num w:numId="10">
    <w:abstractNumId w:val="21"/>
  </w:num>
  <w:num w:numId="11">
    <w:abstractNumId w:val="23"/>
  </w:num>
  <w:num w:numId="12">
    <w:abstractNumId w:val="24"/>
  </w:num>
  <w:num w:numId="13">
    <w:abstractNumId w:val="9"/>
  </w:num>
  <w:num w:numId="1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7"/>
  </w:num>
  <w:num w:numId="17">
    <w:abstractNumId w:val="10"/>
  </w:num>
  <w:num w:numId="18">
    <w:abstractNumId w:val="8"/>
  </w:num>
  <w:num w:numId="19">
    <w:abstractNumId w:val="16"/>
  </w:num>
  <w:num w:numId="20">
    <w:abstractNumId w:val="14"/>
  </w:num>
  <w:num w:numId="21">
    <w:abstractNumId w:val="1"/>
  </w:num>
  <w:num w:numId="22">
    <w:abstractNumId w:val="6"/>
  </w:num>
  <w:num w:numId="23">
    <w:abstractNumId w:val="3"/>
  </w:num>
  <w:num w:numId="24">
    <w:abstractNumId w:val="5"/>
  </w:num>
  <w:num w:numId="25">
    <w:abstractNumId w:val="2"/>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49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D53"/>
    <w:rsid w:val="00001639"/>
    <w:rsid w:val="00002378"/>
    <w:rsid w:val="000029D9"/>
    <w:rsid w:val="00004DEE"/>
    <w:rsid w:val="00005F13"/>
    <w:rsid w:val="00007712"/>
    <w:rsid w:val="00007ABC"/>
    <w:rsid w:val="00007CFD"/>
    <w:rsid w:val="00010E6D"/>
    <w:rsid w:val="00011480"/>
    <w:rsid w:val="0001230C"/>
    <w:rsid w:val="00012BEC"/>
    <w:rsid w:val="000130F6"/>
    <w:rsid w:val="000131ED"/>
    <w:rsid w:val="0001349E"/>
    <w:rsid w:val="00014CF7"/>
    <w:rsid w:val="00015F2B"/>
    <w:rsid w:val="0001611E"/>
    <w:rsid w:val="00016AAE"/>
    <w:rsid w:val="0001757B"/>
    <w:rsid w:val="00021226"/>
    <w:rsid w:val="00021906"/>
    <w:rsid w:val="00021A26"/>
    <w:rsid w:val="00022CED"/>
    <w:rsid w:val="00023598"/>
    <w:rsid w:val="0002460E"/>
    <w:rsid w:val="0002558A"/>
    <w:rsid w:val="00025A61"/>
    <w:rsid w:val="00026495"/>
    <w:rsid w:val="00026948"/>
    <w:rsid w:val="00027156"/>
    <w:rsid w:val="000303AD"/>
    <w:rsid w:val="00030937"/>
    <w:rsid w:val="00030C47"/>
    <w:rsid w:val="00030E0F"/>
    <w:rsid w:val="00031A70"/>
    <w:rsid w:val="00032B80"/>
    <w:rsid w:val="00034BDA"/>
    <w:rsid w:val="00037EA5"/>
    <w:rsid w:val="00040334"/>
    <w:rsid w:val="00042656"/>
    <w:rsid w:val="00042EBE"/>
    <w:rsid w:val="0004373E"/>
    <w:rsid w:val="000451FC"/>
    <w:rsid w:val="0004599E"/>
    <w:rsid w:val="00046071"/>
    <w:rsid w:val="00046636"/>
    <w:rsid w:val="00046B0A"/>
    <w:rsid w:val="00046FFC"/>
    <w:rsid w:val="000515C2"/>
    <w:rsid w:val="000534FA"/>
    <w:rsid w:val="00055574"/>
    <w:rsid w:val="000555D2"/>
    <w:rsid w:val="000568B1"/>
    <w:rsid w:val="00056985"/>
    <w:rsid w:val="00056FD7"/>
    <w:rsid w:val="00060F3C"/>
    <w:rsid w:val="00061279"/>
    <w:rsid w:val="0006161F"/>
    <w:rsid w:val="00061E54"/>
    <w:rsid w:val="00062BC0"/>
    <w:rsid w:val="00064B14"/>
    <w:rsid w:val="00064B4F"/>
    <w:rsid w:val="00065A05"/>
    <w:rsid w:val="00066BE2"/>
    <w:rsid w:val="0006727C"/>
    <w:rsid w:val="00071569"/>
    <w:rsid w:val="00071706"/>
    <w:rsid w:val="00072650"/>
    <w:rsid w:val="00072BC5"/>
    <w:rsid w:val="000730F5"/>
    <w:rsid w:val="000733F6"/>
    <w:rsid w:val="00073536"/>
    <w:rsid w:val="00073A52"/>
    <w:rsid w:val="000742EC"/>
    <w:rsid w:val="00074A88"/>
    <w:rsid w:val="00075628"/>
    <w:rsid w:val="0007598C"/>
    <w:rsid w:val="00076E8B"/>
    <w:rsid w:val="000770C2"/>
    <w:rsid w:val="00077374"/>
    <w:rsid w:val="00077422"/>
    <w:rsid w:val="0007769E"/>
    <w:rsid w:val="00077ABB"/>
    <w:rsid w:val="00077D45"/>
    <w:rsid w:val="00080272"/>
    <w:rsid w:val="00080D87"/>
    <w:rsid w:val="00082726"/>
    <w:rsid w:val="000827F1"/>
    <w:rsid w:val="000836B8"/>
    <w:rsid w:val="00083D7F"/>
    <w:rsid w:val="00083FB0"/>
    <w:rsid w:val="00084032"/>
    <w:rsid w:val="00084081"/>
    <w:rsid w:val="0008433F"/>
    <w:rsid w:val="00084AD9"/>
    <w:rsid w:val="00085E6A"/>
    <w:rsid w:val="00087197"/>
    <w:rsid w:val="00087B82"/>
    <w:rsid w:val="00087F9E"/>
    <w:rsid w:val="00090B9D"/>
    <w:rsid w:val="00090F04"/>
    <w:rsid w:val="000913E8"/>
    <w:rsid w:val="00096B23"/>
    <w:rsid w:val="00096BCA"/>
    <w:rsid w:val="000979C4"/>
    <w:rsid w:val="000A0574"/>
    <w:rsid w:val="000A05C1"/>
    <w:rsid w:val="000A0B1D"/>
    <w:rsid w:val="000A0DC3"/>
    <w:rsid w:val="000A28FD"/>
    <w:rsid w:val="000A2FAD"/>
    <w:rsid w:val="000A5131"/>
    <w:rsid w:val="000A5497"/>
    <w:rsid w:val="000A5596"/>
    <w:rsid w:val="000A616C"/>
    <w:rsid w:val="000A6565"/>
    <w:rsid w:val="000A794F"/>
    <w:rsid w:val="000A7A78"/>
    <w:rsid w:val="000A7F6F"/>
    <w:rsid w:val="000B19BE"/>
    <w:rsid w:val="000B3856"/>
    <w:rsid w:val="000B38F4"/>
    <w:rsid w:val="000B5559"/>
    <w:rsid w:val="000C000E"/>
    <w:rsid w:val="000C21A7"/>
    <w:rsid w:val="000C2857"/>
    <w:rsid w:val="000D1297"/>
    <w:rsid w:val="000D193E"/>
    <w:rsid w:val="000D1D64"/>
    <w:rsid w:val="000D1F69"/>
    <w:rsid w:val="000D1FF2"/>
    <w:rsid w:val="000D283A"/>
    <w:rsid w:val="000D28C8"/>
    <w:rsid w:val="000D2D34"/>
    <w:rsid w:val="000D2F56"/>
    <w:rsid w:val="000D2F8B"/>
    <w:rsid w:val="000D4E1C"/>
    <w:rsid w:val="000D5FCD"/>
    <w:rsid w:val="000D6056"/>
    <w:rsid w:val="000D63F7"/>
    <w:rsid w:val="000D6826"/>
    <w:rsid w:val="000D6F91"/>
    <w:rsid w:val="000E15B9"/>
    <w:rsid w:val="000E1E65"/>
    <w:rsid w:val="000E1EBF"/>
    <w:rsid w:val="000E3BB6"/>
    <w:rsid w:val="000E3F59"/>
    <w:rsid w:val="000F008D"/>
    <w:rsid w:val="000F0704"/>
    <w:rsid w:val="000F09CF"/>
    <w:rsid w:val="000F1279"/>
    <w:rsid w:val="000F3911"/>
    <w:rsid w:val="000F4E29"/>
    <w:rsid w:val="000F5D12"/>
    <w:rsid w:val="000F5E04"/>
    <w:rsid w:val="00100BAC"/>
    <w:rsid w:val="00101E40"/>
    <w:rsid w:val="001028F7"/>
    <w:rsid w:val="001037DF"/>
    <w:rsid w:val="0010395A"/>
    <w:rsid w:val="001041D2"/>
    <w:rsid w:val="0010469E"/>
    <w:rsid w:val="00105992"/>
    <w:rsid w:val="00105A05"/>
    <w:rsid w:val="00106B14"/>
    <w:rsid w:val="00110A0B"/>
    <w:rsid w:val="00110A6B"/>
    <w:rsid w:val="00110F2B"/>
    <w:rsid w:val="00111379"/>
    <w:rsid w:val="00111C23"/>
    <w:rsid w:val="00112DFA"/>
    <w:rsid w:val="00113852"/>
    <w:rsid w:val="00117240"/>
    <w:rsid w:val="00117349"/>
    <w:rsid w:val="00117C88"/>
    <w:rsid w:val="00117EA8"/>
    <w:rsid w:val="001212BC"/>
    <w:rsid w:val="00121863"/>
    <w:rsid w:val="00121AD1"/>
    <w:rsid w:val="001225C6"/>
    <w:rsid w:val="00122677"/>
    <w:rsid w:val="00123403"/>
    <w:rsid w:val="00123F47"/>
    <w:rsid w:val="00125BC4"/>
    <w:rsid w:val="00126B0A"/>
    <w:rsid w:val="001277E0"/>
    <w:rsid w:val="00130432"/>
    <w:rsid w:val="00131BF1"/>
    <w:rsid w:val="00131BFB"/>
    <w:rsid w:val="00132090"/>
    <w:rsid w:val="00132AD5"/>
    <w:rsid w:val="00134A53"/>
    <w:rsid w:val="00134B93"/>
    <w:rsid w:val="00134BBB"/>
    <w:rsid w:val="001361FB"/>
    <w:rsid w:val="001368EE"/>
    <w:rsid w:val="00137F23"/>
    <w:rsid w:val="00141D4A"/>
    <w:rsid w:val="00142F66"/>
    <w:rsid w:val="00143081"/>
    <w:rsid w:val="00150DCF"/>
    <w:rsid w:val="00152DB5"/>
    <w:rsid w:val="0015326A"/>
    <w:rsid w:val="00153693"/>
    <w:rsid w:val="00153B8E"/>
    <w:rsid w:val="00153E5E"/>
    <w:rsid w:val="001559DF"/>
    <w:rsid w:val="00155A7B"/>
    <w:rsid w:val="00155FC7"/>
    <w:rsid w:val="00156076"/>
    <w:rsid w:val="0015643E"/>
    <w:rsid w:val="00156775"/>
    <w:rsid w:val="00157086"/>
    <w:rsid w:val="00160252"/>
    <w:rsid w:val="00160FD3"/>
    <w:rsid w:val="001617F7"/>
    <w:rsid w:val="001621C9"/>
    <w:rsid w:val="00162C08"/>
    <w:rsid w:val="00164265"/>
    <w:rsid w:val="001648C9"/>
    <w:rsid w:val="00164F0B"/>
    <w:rsid w:val="00166FAD"/>
    <w:rsid w:val="00167663"/>
    <w:rsid w:val="00173CD7"/>
    <w:rsid w:val="0017463C"/>
    <w:rsid w:val="00175845"/>
    <w:rsid w:val="0017625D"/>
    <w:rsid w:val="001777E8"/>
    <w:rsid w:val="00177B46"/>
    <w:rsid w:val="00180F85"/>
    <w:rsid w:val="00181CB0"/>
    <w:rsid w:val="0018249C"/>
    <w:rsid w:val="001825F8"/>
    <w:rsid w:val="001829FC"/>
    <w:rsid w:val="00182C7D"/>
    <w:rsid w:val="001849E7"/>
    <w:rsid w:val="001862E3"/>
    <w:rsid w:val="00186591"/>
    <w:rsid w:val="00186701"/>
    <w:rsid w:val="001903DA"/>
    <w:rsid w:val="001904AF"/>
    <w:rsid w:val="00190880"/>
    <w:rsid w:val="00190956"/>
    <w:rsid w:val="00190B50"/>
    <w:rsid w:val="001910E4"/>
    <w:rsid w:val="00192FE0"/>
    <w:rsid w:val="0019307C"/>
    <w:rsid w:val="00193AC4"/>
    <w:rsid w:val="0019572A"/>
    <w:rsid w:val="00195C3E"/>
    <w:rsid w:val="00195E75"/>
    <w:rsid w:val="00196353"/>
    <w:rsid w:val="00197D9E"/>
    <w:rsid w:val="001A0B4E"/>
    <w:rsid w:val="001A0F65"/>
    <w:rsid w:val="001A1082"/>
    <w:rsid w:val="001A17D0"/>
    <w:rsid w:val="001A1983"/>
    <w:rsid w:val="001A3180"/>
    <w:rsid w:val="001A3A99"/>
    <w:rsid w:val="001A3B35"/>
    <w:rsid w:val="001A3EBE"/>
    <w:rsid w:val="001A5804"/>
    <w:rsid w:val="001A620F"/>
    <w:rsid w:val="001A76C1"/>
    <w:rsid w:val="001B0802"/>
    <w:rsid w:val="001B155A"/>
    <w:rsid w:val="001B275A"/>
    <w:rsid w:val="001B42A1"/>
    <w:rsid w:val="001B4C79"/>
    <w:rsid w:val="001B4FF0"/>
    <w:rsid w:val="001B6F1C"/>
    <w:rsid w:val="001B7792"/>
    <w:rsid w:val="001B7AE4"/>
    <w:rsid w:val="001B7C95"/>
    <w:rsid w:val="001C09C8"/>
    <w:rsid w:val="001C10D5"/>
    <w:rsid w:val="001C13BF"/>
    <w:rsid w:val="001C17FB"/>
    <w:rsid w:val="001C1C22"/>
    <w:rsid w:val="001C2666"/>
    <w:rsid w:val="001C2C91"/>
    <w:rsid w:val="001C3794"/>
    <w:rsid w:val="001C40EE"/>
    <w:rsid w:val="001C5AAF"/>
    <w:rsid w:val="001C7BA1"/>
    <w:rsid w:val="001C7F86"/>
    <w:rsid w:val="001D03E7"/>
    <w:rsid w:val="001D2255"/>
    <w:rsid w:val="001D672B"/>
    <w:rsid w:val="001D680D"/>
    <w:rsid w:val="001D72B6"/>
    <w:rsid w:val="001D73FB"/>
    <w:rsid w:val="001D7666"/>
    <w:rsid w:val="001E01B6"/>
    <w:rsid w:val="001E03F4"/>
    <w:rsid w:val="001E0BB4"/>
    <w:rsid w:val="001E1450"/>
    <w:rsid w:val="001E4860"/>
    <w:rsid w:val="001E6BC1"/>
    <w:rsid w:val="001E6EEE"/>
    <w:rsid w:val="001E74E0"/>
    <w:rsid w:val="001E7841"/>
    <w:rsid w:val="001E78EB"/>
    <w:rsid w:val="001E7E8F"/>
    <w:rsid w:val="001F07D8"/>
    <w:rsid w:val="001F25C6"/>
    <w:rsid w:val="001F2773"/>
    <w:rsid w:val="001F294B"/>
    <w:rsid w:val="001F47EA"/>
    <w:rsid w:val="001F4FC4"/>
    <w:rsid w:val="001F5034"/>
    <w:rsid w:val="001F55BF"/>
    <w:rsid w:val="001F5920"/>
    <w:rsid w:val="00202426"/>
    <w:rsid w:val="00202565"/>
    <w:rsid w:val="002026ED"/>
    <w:rsid w:val="00202B01"/>
    <w:rsid w:val="00202C1F"/>
    <w:rsid w:val="002035D1"/>
    <w:rsid w:val="00203777"/>
    <w:rsid w:val="00203997"/>
    <w:rsid w:val="00203A86"/>
    <w:rsid w:val="00204632"/>
    <w:rsid w:val="00204BED"/>
    <w:rsid w:val="002058CF"/>
    <w:rsid w:val="00205985"/>
    <w:rsid w:val="00206068"/>
    <w:rsid w:val="00206719"/>
    <w:rsid w:val="0020691A"/>
    <w:rsid w:val="00207390"/>
    <w:rsid w:val="00207524"/>
    <w:rsid w:val="00210190"/>
    <w:rsid w:val="00210A74"/>
    <w:rsid w:val="00211069"/>
    <w:rsid w:val="00211075"/>
    <w:rsid w:val="0021142F"/>
    <w:rsid w:val="0021170F"/>
    <w:rsid w:val="00211E5F"/>
    <w:rsid w:val="00212971"/>
    <w:rsid w:val="002134F9"/>
    <w:rsid w:val="00214F11"/>
    <w:rsid w:val="00215694"/>
    <w:rsid w:val="0021590B"/>
    <w:rsid w:val="00215D14"/>
    <w:rsid w:val="0021612F"/>
    <w:rsid w:val="002165A4"/>
    <w:rsid w:val="00216917"/>
    <w:rsid w:val="002169A7"/>
    <w:rsid w:val="00216BA0"/>
    <w:rsid w:val="00216C54"/>
    <w:rsid w:val="00221532"/>
    <w:rsid w:val="00221663"/>
    <w:rsid w:val="002234B0"/>
    <w:rsid w:val="00223E46"/>
    <w:rsid w:val="00226B34"/>
    <w:rsid w:val="002274B2"/>
    <w:rsid w:val="00227817"/>
    <w:rsid w:val="002279C5"/>
    <w:rsid w:val="002322C4"/>
    <w:rsid w:val="002336E8"/>
    <w:rsid w:val="00233E6F"/>
    <w:rsid w:val="00234629"/>
    <w:rsid w:val="002348A9"/>
    <w:rsid w:val="00236044"/>
    <w:rsid w:val="00240305"/>
    <w:rsid w:val="00240F5E"/>
    <w:rsid w:val="00242EEC"/>
    <w:rsid w:val="00243B18"/>
    <w:rsid w:val="00243D62"/>
    <w:rsid w:val="002446CA"/>
    <w:rsid w:val="00244AA4"/>
    <w:rsid w:val="00244B90"/>
    <w:rsid w:val="00245041"/>
    <w:rsid w:val="00245B79"/>
    <w:rsid w:val="00245C37"/>
    <w:rsid w:val="00245F1B"/>
    <w:rsid w:val="002468D7"/>
    <w:rsid w:val="00247F90"/>
    <w:rsid w:val="00250BA8"/>
    <w:rsid w:val="00251701"/>
    <w:rsid w:val="00251E96"/>
    <w:rsid w:val="0025230A"/>
    <w:rsid w:val="002527B1"/>
    <w:rsid w:val="00253115"/>
    <w:rsid w:val="00254125"/>
    <w:rsid w:val="00254AAB"/>
    <w:rsid w:val="00255454"/>
    <w:rsid w:val="0025558D"/>
    <w:rsid w:val="002559A8"/>
    <w:rsid w:val="00257E01"/>
    <w:rsid w:val="00257E2A"/>
    <w:rsid w:val="00260AB9"/>
    <w:rsid w:val="00260AFC"/>
    <w:rsid w:val="00260FE7"/>
    <w:rsid w:val="00261B22"/>
    <w:rsid w:val="00262435"/>
    <w:rsid w:val="00262464"/>
    <w:rsid w:val="0026287A"/>
    <w:rsid w:val="00262B04"/>
    <w:rsid w:val="002632E1"/>
    <w:rsid w:val="002643E0"/>
    <w:rsid w:val="00264B82"/>
    <w:rsid w:val="00265935"/>
    <w:rsid w:val="00265E31"/>
    <w:rsid w:val="002666F2"/>
    <w:rsid w:val="00267C4D"/>
    <w:rsid w:val="00267E9D"/>
    <w:rsid w:val="00270181"/>
    <w:rsid w:val="0027082F"/>
    <w:rsid w:val="00270C3E"/>
    <w:rsid w:val="00270F3E"/>
    <w:rsid w:val="002720DA"/>
    <w:rsid w:val="00272EB6"/>
    <w:rsid w:val="00272F0C"/>
    <w:rsid w:val="002749DD"/>
    <w:rsid w:val="00274DE1"/>
    <w:rsid w:val="002763E8"/>
    <w:rsid w:val="002804F4"/>
    <w:rsid w:val="00280D05"/>
    <w:rsid w:val="00281187"/>
    <w:rsid w:val="00281D1F"/>
    <w:rsid w:val="002830B3"/>
    <w:rsid w:val="002837E1"/>
    <w:rsid w:val="00283948"/>
    <w:rsid w:val="00284325"/>
    <w:rsid w:val="002854F4"/>
    <w:rsid w:val="00285C6E"/>
    <w:rsid w:val="00285FCB"/>
    <w:rsid w:val="002861D9"/>
    <w:rsid w:val="002862C7"/>
    <w:rsid w:val="00287183"/>
    <w:rsid w:val="0028784B"/>
    <w:rsid w:val="002910A7"/>
    <w:rsid w:val="00291F87"/>
    <w:rsid w:val="00292F62"/>
    <w:rsid w:val="00293A2B"/>
    <w:rsid w:val="002940E9"/>
    <w:rsid w:val="00294ED7"/>
    <w:rsid w:val="002956DF"/>
    <w:rsid w:val="00295E21"/>
    <w:rsid w:val="0029626E"/>
    <w:rsid w:val="00296C0D"/>
    <w:rsid w:val="002A0A29"/>
    <w:rsid w:val="002A1069"/>
    <w:rsid w:val="002A1F90"/>
    <w:rsid w:val="002A5618"/>
    <w:rsid w:val="002A6A02"/>
    <w:rsid w:val="002A79DB"/>
    <w:rsid w:val="002A7A79"/>
    <w:rsid w:val="002A7F2D"/>
    <w:rsid w:val="002B03AC"/>
    <w:rsid w:val="002B0735"/>
    <w:rsid w:val="002B0BD0"/>
    <w:rsid w:val="002B0EA2"/>
    <w:rsid w:val="002B111B"/>
    <w:rsid w:val="002B132F"/>
    <w:rsid w:val="002B146C"/>
    <w:rsid w:val="002B1629"/>
    <w:rsid w:val="002B1956"/>
    <w:rsid w:val="002B20B9"/>
    <w:rsid w:val="002B36CA"/>
    <w:rsid w:val="002B41EA"/>
    <w:rsid w:val="002B4397"/>
    <w:rsid w:val="002B4AD7"/>
    <w:rsid w:val="002C1606"/>
    <w:rsid w:val="002C40ED"/>
    <w:rsid w:val="002C4278"/>
    <w:rsid w:val="002C4625"/>
    <w:rsid w:val="002C46ED"/>
    <w:rsid w:val="002C5BC5"/>
    <w:rsid w:val="002C6355"/>
    <w:rsid w:val="002C6776"/>
    <w:rsid w:val="002C77A3"/>
    <w:rsid w:val="002D0722"/>
    <w:rsid w:val="002D0953"/>
    <w:rsid w:val="002D09EE"/>
    <w:rsid w:val="002D17EE"/>
    <w:rsid w:val="002D1BB3"/>
    <w:rsid w:val="002D1DB1"/>
    <w:rsid w:val="002D21DA"/>
    <w:rsid w:val="002D3AFA"/>
    <w:rsid w:val="002D43A1"/>
    <w:rsid w:val="002D4AF7"/>
    <w:rsid w:val="002D4F52"/>
    <w:rsid w:val="002D670F"/>
    <w:rsid w:val="002D6929"/>
    <w:rsid w:val="002D6B8A"/>
    <w:rsid w:val="002D7028"/>
    <w:rsid w:val="002D746E"/>
    <w:rsid w:val="002E1F22"/>
    <w:rsid w:val="002E269A"/>
    <w:rsid w:val="002E347D"/>
    <w:rsid w:val="002E3A4D"/>
    <w:rsid w:val="002E579F"/>
    <w:rsid w:val="002E5D3E"/>
    <w:rsid w:val="002E63B3"/>
    <w:rsid w:val="002F0FD5"/>
    <w:rsid w:val="002F1A50"/>
    <w:rsid w:val="002F1D64"/>
    <w:rsid w:val="002F348F"/>
    <w:rsid w:val="002F3824"/>
    <w:rsid w:val="002F426A"/>
    <w:rsid w:val="002F456F"/>
    <w:rsid w:val="002F55F2"/>
    <w:rsid w:val="002F57E5"/>
    <w:rsid w:val="002F6063"/>
    <w:rsid w:val="002F660B"/>
    <w:rsid w:val="0030076F"/>
    <w:rsid w:val="0030084A"/>
    <w:rsid w:val="00300932"/>
    <w:rsid w:val="00300B42"/>
    <w:rsid w:val="0030109B"/>
    <w:rsid w:val="003013B7"/>
    <w:rsid w:val="00301495"/>
    <w:rsid w:val="00301814"/>
    <w:rsid w:val="00303BE4"/>
    <w:rsid w:val="00304403"/>
    <w:rsid w:val="00304614"/>
    <w:rsid w:val="00304E14"/>
    <w:rsid w:val="003060EE"/>
    <w:rsid w:val="00306B10"/>
    <w:rsid w:val="00306DD1"/>
    <w:rsid w:val="00307A36"/>
    <w:rsid w:val="0031159F"/>
    <w:rsid w:val="00311BB9"/>
    <w:rsid w:val="0031228A"/>
    <w:rsid w:val="00314470"/>
    <w:rsid w:val="00314A18"/>
    <w:rsid w:val="00314B1E"/>
    <w:rsid w:val="00314CFD"/>
    <w:rsid w:val="0031513A"/>
    <w:rsid w:val="00316F2B"/>
    <w:rsid w:val="0031760F"/>
    <w:rsid w:val="003220F2"/>
    <w:rsid w:val="0032250E"/>
    <w:rsid w:val="003229AF"/>
    <w:rsid w:val="0032497A"/>
    <w:rsid w:val="00327D6F"/>
    <w:rsid w:val="00330595"/>
    <w:rsid w:val="00331310"/>
    <w:rsid w:val="003316A5"/>
    <w:rsid w:val="00331BC4"/>
    <w:rsid w:val="00332036"/>
    <w:rsid w:val="00332140"/>
    <w:rsid w:val="00332339"/>
    <w:rsid w:val="0033260A"/>
    <w:rsid w:val="00332FA1"/>
    <w:rsid w:val="00333D4A"/>
    <w:rsid w:val="00333E56"/>
    <w:rsid w:val="003341B1"/>
    <w:rsid w:val="00334B4B"/>
    <w:rsid w:val="003352A9"/>
    <w:rsid w:val="003362E9"/>
    <w:rsid w:val="003364AD"/>
    <w:rsid w:val="00340064"/>
    <w:rsid w:val="00342578"/>
    <w:rsid w:val="003432BF"/>
    <w:rsid w:val="00343B20"/>
    <w:rsid w:val="003464F1"/>
    <w:rsid w:val="003472F7"/>
    <w:rsid w:val="00347A26"/>
    <w:rsid w:val="00347D8B"/>
    <w:rsid w:val="00347DED"/>
    <w:rsid w:val="00347E88"/>
    <w:rsid w:val="0035064D"/>
    <w:rsid w:val="0035079C"/>
    <w:rsid w:val="00350A32"/>
    <w:rsid w:val="00350CB8"/>
    <w:rsid w:val="00352B3C"/>
    <w:rsid w:val="00355784"/>
    <w:rsid w:val="00355822"/>
    <w:rsid w:val="0035617A"/>
    <w:rsid w:val="00356331"/>
    <w:rsid w:val="003564F1"/>
    <w:rsid w:val="0036192B"/>
    <w:rsid w:val="003619A6"/>
    <w:rsid w:val="003619D5"/>
    <w:rsid w:val="00364581"/>
    <w:rsid w:val="00364A9A"/>
    <w:rsid w:val="00365255"/>
    <w:rsid w:val="00367017"/>
    <w:rsid w:val="00370133"/>
    <w:rsid w:val="0037140F"/>
    <w:rsid w:val="00372C60"/>
    <w:rsid w:val="00372D42"/>
    <w:rsid w:val="00380CE9"/>
    <w:rsid w:val="0038136B"/>
    <w:rsid w:val="003814BD"/>
    <w:rsid w:val="00382839"/>
    <w:rsid w:val="00383726"/>
    <w:rsid w:val="0038374A"/>
    <w:rsid w:val="0038469B"/>
    <w:rsid w:val="00384AF4"/>
    <w:rsid w:val="00384D46"/>
    <w:rsid w:val="003866F0"/>
    <w:rsid w:val="0038756A"/>
    <w:rsid w:val="00390134"/>
    <w:rsid w:val="0039069F"/>
    <w:rsid w:val="00391815"/>
    <w:rsid w:val="0039305B"/>
    <w:rsid w:val="00393091"/>
    <w:rsid w:val="00394B7C"/>
    <w:rsid w:val="00395476"/>
    <w:rsid w:val="003966E0"/>
    <w:rsid w:val="00396A86"/>
    <w:rsid w:val="00396F9B"/>
    <w:rsid w:val="003A171E"/>
    <w:rsid w:val="003A1B2E"/>
    <w:rsid w:val="003A292D"/>
    <w:rsid w:val="003A2D09"/>
    <w:rsid w:val="003A2F59"/>
    <w:rsid w:val="003A336D"/>
    <w:rsid w:val="003A3AB2"/>
    <w:rsid w:val="003A3E05"/>
    <w:rsid w:val="003A4A56"/>
    <w:rsid w:val="003A4CC3"/>
    <w:rsid w:val="003A5AE4"/>
    <w:rsid w:val="003A5B8D"/>
    <w:rsid w:val="003A613B"/>
    <w:rsid w:val="003A6D75"/>
    <w:rsid w:val="003A7404"/>
    <w:rsid w:val="003B1261"/>
    <w:rsid w:val="003B1FA5"/>
    <w:rsid w:val="003B2166"/>
    <w:rsid w:val="003B3F9A"/>
    <w:rsid w:val="003B4B09"/>
    <w:rsid w:val="003B5666"/>
    <w:rsid w:val="003B693D"/>
    <w:rsid w:val="003B6B7E"/>
    <w:rsid w:val="003B7065"/>
    <w:rsid w:val="003C0136"/>
    <w:rsid w:val="003C2229"/>
    <w:rsid w:val="003C2952"/>
    <w:rsid w:val="003C2F9D"/>
    <w:rsid w:val="003C3E71"/>
    <w:rsid w:val="003C4BEC"/>
    <w:rsid w:val="003D008A"/>
    <w:rsid w:val="003D03CF"/>
    <w:rsid w:val="003D14D9"/>
    <w:rsid w:val="003D2DB4"/>
    <w:rsid w:val="003D2F2A"/>
    <w:rsid w:val="003D31DD"/>
    <w:rsid w:val="003D3B74"/>
    <w:rsid w:val="003D4469"/>
    <w:rsid w:val="003D4FC6"/>
    <w:rsid w:val="003D5519"/>
    <w:rsid w:val="003D5846"/>
    <w:rsid w:val="003D677F"/>
    <w:rsid w:val="003D7C1F"/>
    <w:rsid w:val="003D7F26"/>
    <w:rsid w:val="003E017C"/>
    <w:rsid w:val="003E02FC"/>
    <w:rsid w:val="003E0FF4"/>
    <w:rsid w:val="003E103A"/>
    <w:rsid w:val="003E2295"/>
    <w:rsid w:val="003E25CB"/>
    <w:rsid w:val="003E3084"/>
    <w:rsid w:val="003E32B0"/>
    <w:rsid w:val="003E56C0"/>
    <w:rsid w:val="003E5F37"/>
    <w:rsid w:val="003E613D"/>
    <w:rsid w:val="003E6527"/>
    <w:rsid w:val="003E656B"/>
    <w:rsid w:val="003E71DE"/>
    <w:rsid w:val="003E77F7"/>
    <w:rsid w:val="003F1446"/>
    <w:rsid w:val="003F1DF8"/>
    <w:rsid w:val="003F3161"/>
    <w:rsid w:val="003F457B"/>
    <w:rsid w:val="003F56A0"/>
    <w:rsid w:val="003F58C6"/>
    <w:rsid w:val="003F6B6D"/>
    <w:rsid w:val="003F718B"/>
    <w:rsid w:val="004001F6"/>
    <w:rsid w:val="004004B8"/>
    <w:rsid w:val="004012F0"/>
    <w:rsid w:val="0040273E"/>
    <w:rsid w:val="004027A7"/>
    <w:rsid w:val="004048D0"/>
    <w:rsid w:val="00404E58"/>
    <w:rsid w:val="00405DAB"/>
    <w:rsid w:val="00406531"/>
    <w:rsid w:val="00406BA6"/>
    <w:rsid w:val="00407B1E"/>
    <w:rsid w:val="00410D14"/>
    <w:rsid w:val="004110C5"/>
    <w:rsid w:val="004121F0"/>
    <w:rsid w:val="00413395"/>
    <w:rsid w:val="004144FD"/>
    <w:rsid w:val="00414638"/>
    <w:rsid w:val="00415701"/>
    <w:rsid w:val="004179FC"/>
    <w:rsid w:val="00417F90"/>
    <w:rsid w:val="00420603"/>
    <w:rsid w:val="00420BC3"/>
    <w:rsid w:val="00422354"/>
    <w:rsid w:val="00423C29"/>
    <w:rsid w:val="00426567"/>
    <w:rsid w:val="00427B96"/>
    <w:rsid w:val="00427E1D"/>
    <w:rsid w:val="00432340"/>
    <w:rsid w:val="0043361B"/>
    <w:rsid w:val="00435548"/>
    <w:rsid w:val="00436A27"/>
    <w:rsid w:val="0044010B"/>
    <w:rsid w:val="00441550"/>
    <w:rsid w:val="00441CC4"/>
    <w:rsid w:val="00442B1C"/>
    <w:rsid w:val="00442D5A"/>
    <w:rsid w:val="004432EF"/>
    <w:rsid w:val="00443AE1"/>
    <w:rsid w:val="00445287"/>
    <w:rsid w:val="004473DA"/>
    <w:rsid w:val="004477AF"/>
    <w:rsid w:val="00447D06"/>
    <w:rsid w:val="00447E57"/>
    <w:rsid w:val="00450271"/>
    <w:rsid w:val="0045049D"/>
    <w:rsid w:val="00450B95"/>
    <w:rsid w:val="00450D5F"/>
    <w:rsid w:val="00451008"/>
    <w:rsid w:val="00452759"/>
    <w:rsid w:val="00452EFF"/>
    <w:rsid w:val="004548B3"/>
    <w:rsid w:val="00454A9D"/>
    <w:rsid w:val="00455E2B"/>
    <w:rsid w:val="00456ADF"/>
    <w:rsid w:val="0045793A"/>
    <w:rsid w:val="004614B4"/>
    <w:rsid w:val="00463E31"/>
    <w:rsid w:val="00465820"/>
    <w:rsid w:val="00465B91"/>
    <w:rsid w:val="00465C25"/>
    <w:rsid w:val="00465C9F"/>
    <w:rsid w:val="00466098"/>
    <w:rsid w:val="00466D57"/>
    <w:rsid w:val="00467EA1"/>
    <w:rsid w:val="004723F7"/>
    <w:rsid w:val="0047420A"/>
    <w:rsid w:val="0047470A"/>
    <w:rsid w:val="0047471D"/>
    <w:rsid w:val="004750F0"/>
    <w:rsid w:val="00475E93"/>
    <w:rsid w:val="004769B0"/>
    <w:rsid w:val="00476B88"/>
    <w:rsid w:val="00476D5E"/>
    <w:rsid w:val="0048255E"/>
    <w:rsid w:val="004828F9"/>
    <w:rsid w:val="00484071"/>
    <w:rsid w:val="00484250"/>
    <w:rsid w:val="00484C72"/>
    <w:rsid w:val="00487311"/>
    <w:rsid w:val="0048738A"/>
    <w:rsid w:val="0048761D"/>
    <w:rsid w:val="004877C1"/>
    <w:rsid w:val="00487B02"/>
    <w:rsid w:val="00487E6B"/>
    <w:rsid w:val="004900B1"/>
    <w:rsid w:val="004905B5"/>
    <w:rsid w:val="0049064A"/>
    <w:rsid w:val="00490B94"/>
    <w:rsid w:val="0049133F"/>
    <w:rsid w:val="004917A5"/>
    <w:rsid w:val="0049194E"/>
    <w:rsid w:val="00496384"/>
    <w:rsid w:val="0049671C"/>
    <w:rsid w:val="00496808"/>
    <w:rsid w:val="004968D4"/>
    <w:rsid w:val="00497370"/>
    <w:rsid w:val="004A034A"/>
    <w:rsid w:val="004A1436"/>
    <w:rsid w:val="004A24ED"/>
    <w:rsid w:val="004A28DA"/>
    <w:rsid w:val="004A2AF4"/>
    <w:rsid w:val="004A2CFC"/>
    <w:rsid w:val="004A36D0"/>
    <w:rsid w:val="004A3FEE"/>
    <w:rsid w:val="004A407B"/>
    <w:rsid w:val="004A4FEC"/>
    <w:rsid w:val="004A582B"/>
    <w:rsid w:val="004A603B"/>
    <w:rsid w:val="004A6864"/>
    <w:rsid w:val="004A700F"/>
    <w:rsid w:val="004A7A18"/>
    <w:rsid w:val="004B0A46"/>
    <w:rsid w:val="004B0B9B"/>
    <w:rsid w:val="004B1208"/>
    <w:rsid w:val="004B1404"/>
    <w:rsid w:val="004B1FF8"/>
    <w:rsid w:val="004B27F2"/>
    <w:rsid w:val="004B2B27"/>
    <w:rsid w:val="004B2C68"/>
    <w:rsid w:val="004B2D26"/>
    <w:rsid w:val="004B301C"/>
    <w:rsid w:val="004B4733"/>
    <w:rsid w:val="004B4F42"/>
    <w:rsid w:val="004B500B"/>
    <w:rsid w:val="004B6368"/>
    <w:rsid w:val="004B7D72"/>
    <w:rsid w:val="004B7E92"/>
    <w:rsid w:val="004C05B2"/>
    <w:rsid w:val="004C0CE7"/>
    <w:rsid w:val="004C25E5"/>
    <w:rsid w:val="004C343B"/>
    <w:rsid w:val="004C41AF"/>
    <w:rsid w:val="004C459F"/>
    <w:rsid w:val="004C5D57"/>
    <w:rsid w:val="004C610B"/>
    <w:rsid w:val="004C62AF"/>
    <w:rsid w:val="004C644A"/>
    <w:rsid w:val="004C6845"/>
    <w:rsid w:val="004C6B47"/>
    <w:rsid w:val="004C7181"/>
    <w:rsid w:val="004C7879"/>
    <w:rsid w:val="004C7F25"/>
    <w:rsid w:val="004D0393"/>
    <w:rsid w:val="004D074E"/>
    <w:rsid w:val="004D20FF"/>
    <w:rsid w:val="004D2C0E"/>
    <w:rsid w:val="004D2F40"/>
    <w:rsid w:val="004D3901"/>
    <w:rsid w:val="004D446A"/>
    <w:rsid w:val="004D53F8"/>
    <w:rsid w:val="004D6523"/>
    <w:rsid w:val="004D700B"/>
    <w:rsid w:val="004D7118"/>
    <w:rsid w:val="004D7DFB"/>
    <w:rsid w:val="004E2907"/>
    <w:rsid w:val="004E3447"/>
    <w:rsid w:val="004E37A4"/>
    <w:rsid w:val="004E5A18"/>
    <w:rsid w:val="004F1539"/>
    <w:rsid w:val="004F1F78"/>
    <w:rsid w:val="004F26C6"/>
    <w:rsid w:val="004F34CD"/>
    <w:rsid w:val="004F472B"/>
    <w:rsid w:val="004F5256"/>
    <w:rsid w:val="004F6146"/>
    <w:rsid w:val="004F6F2D"/>
    <w:rsid w:val="004F7FFD"/>
    <w:rsid w:val="0050004E"/>
    <w:rsid w:val="005011FE"/>
    <w:rsid w:val="00502BC8"/>
    <w:rsid w:val="00502DFD"/>
    <w:rsid w:val="005034F5"/>
    <w:rsid w:val="0050420E"/>
    <w:rsid w:val="0050429F"/>
    <w:rsid w:val="00505128"/>
    <w:rsid w:val="00505893"/>
    <w:rsid w:val="0050623C"/>
    <w:rsid w:val="00506636"/>
    <w:rsid w:val="0050748D"/>
    <w:rsid w:val="00510000"/>
    <w:rsid w:val="0051030E"/>
    <w:rsid w:val="00510728"/>
    <w:rsid w:val="00511523"/>
    <w:rsid w:val="00511CFF"/>
    <w:rsid w:val="0051226E"/>
    <w:rsid w:val="00512D49"/>
    <w:rsid w:val="00513C6B"/>
    <w:rsid w:val="00514DD8"/>
    <w:rsid w:val="00515115"/>
    <w:rsid w:val="00515118"/>
    <w:rsid w:val="00515342"/>
    <w:rsid w:val="0051650E"/>
    <w:rsid w:val="0051690D"/>
    <w:rsid w:val="00516F34"/>
    <w:rsid w:val="00517377"/>
    <w:rsid w:val="00517389"/>
    <w:rsid w:val="0051741F"/>
    <w:rsid w:val="005175F3"/>
    <w:rsid w:val="00517971"/>
    <w:rsid w:val="00517B78"/>
    <w:rsid w:val="00517D39"/>
    <w:rsid w:val="00517E67"/>
    <w:rsid w:val="00517F66"/>
    <w:rsid w:val="00520686"/>
    <w:rsid w:val="005218E7"/>
    <w:rsid w:val="00522134"/>
    <w:rsid w:val="005226D3"/>
    <w:rsid w:val="005229FB"/>
    <w:rsid w:val="00522B01"/>
    <w:rsid w:val="0052314F"/>
    <w:rsid w:val="00523846"/>
    <w:rsid w:val="005243CF"/>
    <w:rsid w:val="00524C45"/>
    <w:rsid w:val="0052524C"/>
    <w:rsid w:val="0052690C"/>
    <w:rsid w:val="00526DCA"/>
    <w:rsid w:val="00527385"/>
    <w:rsid w:val="0053056A"/>
    <w:rsid w:val="00530D53"/>
    <w:rsid w:val="00531E72"/>
    <w:rsid w:val="00531E88"/>
    <w:rsid w:val="0053230B"/>
    <w:rsid w:val="00532518"/>
    <w:rsid w:val="00532F90"/>
    <w:rsid w:val="0053439A"/>
    <w:rsid w:val="00535119"/>
    <w:rsid w:val="0053542D"/>
    <w:rsid w:val="00536471"/>
    <w:rsid w:val="00536959"/>
    <w:rsid w:val="00536C99"/>
    <w:rsid w:val="005401D4"/>
    <w:rsid w:val="00540CA5"/>
    <w:rsid w:val="005415D4"/>
    <w:rsid w:val="005428A9"/>
    <w:rsid w:val="005434A3"/>
    <w:rsid w:val="0054358D"/>
    <w:rsid w:val="00543C15"/>
    <w:rsid w:val="0054497E"/>
    <w:rsid w:val="0054568D"/>
    <w:rsid w:val="005466CA"/>
    <w:rsid w:val="00546C44"/>
    <w:rsid w:val="00547AE7"/>
    <w:rsid w:val="00550603"/>
    <w:rsid w:val="00550BC8"/>
    <w:rsid w:val="00551061"/>
    <w:rsid w:val="00551888"/>
    <w:rsid w:val="00551F8F"/>
    <w:rsid w:val="005525D7"/>
    <w:rsid w:val="00552EE3"/>
    <w:rsid w:val="00553C92"/>
    <w:rsid w:val="00554944"/>
    <w:rsid w:val="005572AB"/>
    <w:rsid w:val="00557500"/>
    <w:rsid w:val="00557FE0"/>
    <w:rsid w:val="005604CC"/>
    <w:rsid w:val="00560E9A"/>
    <w:rsid w:val="00561DC3"/>
    <w:rsid w:val="00561E95"/>
    <w:rsid w:val="005620AD"/>
    <w:rsid w:val="00562F0E"/>
    <w:rsid w:val="0056459E"/>
    <w:rsid w:val="00564CE1"/>
    <w:rsid w:val="00566740"/>
    <w:rsid w:val="0057079B"/>
    <w:rsid w:val="00571362"/>
    <w:rsid w:val="005734B9"/>
    <w:rsid w:val="00573D81"/>
    <w:rsid w:val="00575ED5"/>
    <w:rsid w:val="0057653C"/>
    <w:rsid w:val="005769DB"/>
    <w:rsid w:val="00576D60"/>
    <w:rsid w:val="00576F10"/>
    <w:rsid w:val="005800FE"/>
    <w:rsid w:val="00581726"/>
    <w:rsid w:val="00582971"/>
    <w:rsid w:val="00582B78"/>
    <w:rsid w:val="0058335D"/>
    <w:rsid w:val="00583559"/>
    <w:rsid w:val="00584C12"/>
    <w:rsid w:val="00585C8E"/>
    <w:rsid w:val="00586094"/>
    <w:rsid w:val="00586228"/>
    <w:rsid w:val="0059046F"/>
    <w:rsid w:val="00591E4E"/>
    <w:rsid w:val="0059241D"/>
    <w:rsid w:val="0059265F"/>
    <w:rsid w:val="005941C4"/>
    <w:rsid w:val="00594D2B"/>
    <w:rsid w:val="005951C9"/>
    <w:rsid w:val="005956BD"/>
    <w:rsid w:val="00595986"/>
    <w:rsid w:val="00597C34"/>
    <w:rsid w:val="00597D68"/>
    <w:rsid w:val="005A087D"/>
    <w:rsid w:val="005A3C44"/>
    <w:rsid w:val="005A43E3"/>
    <w:rsid w:val="005A5172"/>
    <w:rsid w:val="005A5250"/>
    <w:rsid w:val="005A67E7"/>
    <w:rsid w:val="005A6CCA"/>
    <w:rsid w:val="005A7C9A"/>
    <w:rsid w:val="005B3433"/>
    <w:rsid w:val="005B4143"/>
    <w:rsid w:val="005B48BE"/>
    <w:rsid w:val="005B52DB"/>
    <w:rsid w:val="005B58FC"/>
    <w:rsid w:val="005B5D81"/>
    <w:rsid w:val="005B6C67"/>
    <w:rsid w:val="005C00C2"/>
    <w:rsid w:val="005C0357"/>
    <w:rsid w:val="005C13BF"/>
    <w:rsid w:val="005C1C7B"/>
    <w:rsid w:val="005C54E9"/>
    <w:rsid w:val="005C7B98"/>
    <w:rsid w:val="005D0063"/>
    <w:rsid w:val="005D1209"/>
    <w:rsid w:val="005D15BE"/>
    <w:rsid w:val="005D40B8"/>
    <w:rsid w:val="005D431A"/>
    <w:rsid w:val="005D72F4"/>
    <w:rsid w:val="005D786E"/>
    <w:rsid w:val="005E0530"/>
    <w:rsid w:val="005E057B"/>
    <w:rsid w:val="005E13FB"/>
    <w:rsid w:val="005E246B"/>
    <w:rsid w:val="005E42AB"/>
    <w:rsid w:val="005E4CF0"/>
    <w:rsid w:val="005E5075"/>
    <w:rsid w:val="005E6A08"/>
    <w:rsid w:val="005E7523"/>
    <w:rsid w:val="005F103C"/>
    <w:rsid w:val="005F10C2"/>
    <w:rsid w:val="005F189F"/>
    <w:rsid w:val="005F1CA9"/>
    <w:rsid w:val="005F36DF"/>
    <w:rsid w:val="005F4F97"/>
    <w:rsid w:val="005F513B"/>
    <w:rsid w:val="005F5632"/>
    <w:rsid w:val="005F60A7"/>
    <w:rsid w:val="005F7982"/>
    <w:rsid w:val="006003FC"/>
    <w:rsid w:val="00602DE6"/>
    <w:rsid w:val="006047FE"/>
    <w:rsid w:val="006048C6"/>
    <w:rsid w:val="00606AEE"/>
    <w:rsid w:val="00612CEF"/>
    <w:rsid w:val="00612D3F"/>
    <w:rsid w:val="006133D1"/>
    <w:rsid w:val="00613C32"/>
    <w:rsid w:val="00615D14"/>
    <w:rsid w:val="00616069"/>
    <w:rsid w:val="006163C1"/>
    <w:rsid w:val="00616DFC"/>
    <w:rsid w:val="00616EC6"/>
    <w:rsid w:val="00617676"/>
    <w:rsid w:val="00620048"/>
    <w:rsid w:val="0062245B"/>
    <w:rsid w:val="00624FD4"/>
    <w:rsid w:val="0062610C"/>
    <w:rsid w:val="00626EC4"/>
    <w:rsid w:val="00632B5D"/>
    <w:rsid w:val="00633277"/>
    <w:rsid w:val="0063417E"/>
    <w:rsid w:val="006347FE"/>
    <w:rsid w:val="00635BDA"/>
    <w:rsid w:val="006400C7"/>
    <w:rsid w:val="00640C52"/>
    <w:rsid w:val="00641337"/>
    <w:rsid w:val="006418CA"/>
    <w:rsid w:val="00643C08"/>
    <w:rsid w:val="00644071"/>
    <w:rsid w:val="00644211"/>
    <w:rsid w:val="00644498"/>
    <w:rsid w:val="00644622"/>
    <w:rsid w:val="006448E2"/>
    <w:rsid w:val="00645379"/>
    <w:rsid w:val="00646A8C"/>
    <w:rsid w:val="00646FBD"/>
    <w:rsid w:val="006479BB"/>
    <w:rsid w:val="00650141"/>
    <w:rsid w:val="006505A5"/>
    <w:rsid w:val="00650CE5"/>
    <w:rsid w:val="00651D36"/>
    <w:rsid w:val="00652F5A"/>
    <w:rsid w:val="006540B7"/>
    <w:rsid w:val="00654374"/>
    <w:rsid w:val="00654EC6"/>
    <w:rsid w:val="00655244"/>
    <w:rsid w:val="00657D1A"/>
    <w:rsid w:val="0066169D"/>
    <w:rsid w:val="0066317F"/>
    <w:rsid w:val="00664042"/>
    <w:rsid w:val="00664212"/>
    <w:rsid w:val="006655A3"/>
    <w:rsid w:val="00665B3A"/>
    <w:rsid w:val="00665B96"/>
    <w:rsid w:val="006660A7"/>
    <w:rsid w:val="0066680B"/>
    <w:rsid w:val="006704E6"/>
    <w:rsid w:val="006705B4"/>
    <w:rsid w:val="00671268"/>
    <w:rsid w:val="00671805"/>
    <w:rsid w:val="00672724"/>
    <w:rsid w:val="00673481"/>
    <w:rsid w:val="006737E5"/>
    <w:rsid w:val="00673858"/>
    <w:rsid w:val="00674AB1"/>
    <w:rsid w:val="00677750"/>
    <w:rsid w:val="00680665"/>
    <w:rsid w:val="00681F56"/>
    <w:rsid w:val="00682436"/>
    <w:rsid w:val="00682981"/>
    <w:rsid w:val="00683395"/>
    <w:rsid w:val="006843F7"/>
    <w:rsid w:val="00684D56"/>
    <w:rsid w:val="00685E23"/>
    <w:rsid w:val="00686AA2"/>
    <w:rsid w:val="00690025"/>
    <w:rsid w:val="00690B65"/>
    <w:rsid w:val="006914A2"/>
    <w:rsid w:val="006919D1"/>
    <w:rsid w:val="006926B8"/>
    <w:rsid w:val="006937DD"/>
    <w:rsid w:val="00694333"/>
    <w:rsid w:val="00695646"/>
    <w:rsid w:val="00696C1B"/>
    <w:rsid w:val="00696E05"/>
    <w:rsid w:val="006A0C03"/>
    <w:rsid w:val="006A10A7"/>
    <w:rsid w:val="006A1B7B"/>
    <w:rsid w:val="006A374C"/>
    <w:rsid w:val="006A3AF5"/>
    <w:rsid w:val="006A3FDB"/>
    <w:rsid w:val="006A494B"/>
    <w:rsid w:val="006A6F00"/>
    <w:rsid w:val="006A7EAE"/>
    <w:rsid w:val="006B08E4"/>
    <w:rsid w:val="006B097B"/>
    <w:rsid w:val="006B0D61"/>
    <w:rsid w:val="006B170E"/>
    <w:rsid w:val="006B19D7"/>
    <w:rsid w:val="006B2627"/>
    <w:rsid w:val="006B285E"/>
    <w:rsid w:val="006B3099"/>
    <w:rsid w:val="006B32D0"/>
    <w:rsid w:val="006B331A"/>
    <w:rsid w:val="006B547A"/>
    <w:rsid w:val="006B61CC"/>
    <w:rsid w:val="006C03B7"/>
    <w:rsid w:val="006C0799"/>
    <w:rsid w:val="006C0FD1"/>
    <w:rsid w:val="006C2A2E"/>
    <w:rsid w:val="006C2B04"/>
    <w:rsid w:val="006C32FA"/>
    <w:rsid w:val="006C34DA"/>
    <w:rsid w:val="006C44C6"/>
    <w:rsid w:val="006C524E"/>
    <w:rsid w:val="006C7BE0"/>
    <w:rsid w:val="006D0ADE"/>
    <w:rsid w:val="006D0E11"/>
    <w:rsid w:val="006D5767"/>
    <w:rsid w:val="006D607B"/>
    <w:rsid w:val="006E01EF"/>
    <w:rsid w:val="006E1594"/>
    <w:rsid w:val="006E170F"/>
    <w:rsid w:val="006E1E27"/>
    <w:rsid w:val="006E668A"/>
    <w:rsid w:val="006E672F"/>
    <w:rsid w:val="006E6A28"/>
    <w:rsid w:val="006E6C74"/>
    <w:rsid w:val="006E6EB8"/>
    <w:rsid w:val="006E73A8"/>
    <w:rsid w:val="006E74A6"/>
    <w:rsid w:val="006F1458"/>
    <w:rsid w:val="006F4150"/>
    <w:rsid w:val="006F44F1"/>
    <w:rsid w:val="006F497B"/>
    <w:rsid w:val="006F4A77"/>
    <w:rsid w:val="006F4D0B"/>
    <w:rsid w:val="006F52CC"/>
    <w:rsid w:val="006F55D1"/>
    <w:rsid w:val="006F6344"/>
    <w:rsid w:val="006F66EF"/>
    <w:rsid w:val="006F7BDD"/>
    <w:rsid w:val="00700924"/>
    <w:rsid w:val="00702707"/>
    <w:rsid w:val="00702E5E"/>
    <w:rsid w:val="00702F3D"/>
    <w:rsid w:val="0070358D"/>
    <w:rsid w:val="00703DC5"/>
    <w:rsid w:val="00703E6E"/>
    <w:rsid w:val="00703E74"/>
    <w:rsid w:val="007043F0"/>
    <w:rsid w:val="00704D2C"/>
    <w:rsid w:val="00705A2E"/>
    <w:rsid w:val="0070654C"/>
    <w:rsid w:val="00706604"/>
    <w:rsid w:val="00707FB9"/>
    <w:rsid w:val="0071108D"/>
    <w:rsid w:val="007114C4"/>
    <w:rsid w:val="00711F1A"/>
    <w:rsid w:val="007123E1"/>
    <w:rsid w:val="00712571"/>
    <w:rsid w:val="00714D14"/>
    <w:rsid w:val="00715A66"/>
    <w:rsid w:val="00716CC9"/>
    <w:rsid w:val="00717D97"/>
    <w:rsid w:val="00721156"/>
    <w:rsid w:val="00721AE9"/>
    <w:rsid w:val="007226D8"/>
    <w:rsid w:val="00722DC0"/>
    <w:rsid w:val="007233D0"/>
    <w:rsid w:val="0072429C"/>
    <w:rsid w:val="00724A1F"/>
    <w:rsid w:val="00725CE7"/>
    <w:rsid w:val="007261A7"/>
    <w:rsid w:val="00727457"/>
    <w:rsid w:val="00727F8B"/>
    <w:rsid w:val="00734510"/>
    <w:rsid w:val="007352B7"/>
    <w:rsid w:val="00736312"/>
    <w:rsid w:val="00737595"/>
    <w:rsid w:val="00737EE4"/>
    <w:rsid w:val="00740B14"/>
    <w:rsid w:val="007416B0"/>
    <w:rsid w:val="00741E9C"/>
    <w:rsid w:val="00742176"/>
    <w:rsid w:val="0074349B"/>
    <w:rsid w:val="00744096"/>
    <w:rsid w:val="0074589B"/>
    <w:rsid w:val="00745FEE"/>
    <w:rsid w:val="0074640A"/>
    <w:rsid w:val="00746B90"/>
    <w:rsid w:val="007519F5"/>
    <w:rsid w:val="007521C1"/>
    <w:rsid w:val="007522DE"/>
    <w:rsid w:val="00753F88"/>
    <w:rsid w:val="007540AD"/>
    <w:rsid w:val="00754340"/>
    <w:rsid w:val="00754E11"/>
    <w:rsid w:val="00755014"/>
    <w:rsid w:val="00755348"/>
    <w:rsid w:val="00756981"/>
    <w:rsid w:val="00757830"/>
    <w:rsid w:val="00757CBE"/>
    <w:rsid w:val="00760323"/>
    <w:rsid w:val="00760CD2"/>
    <w:rsid w:val="00760E29"/>
    <w:rsid w:val="00762518"/>
    <w:rsid w:val="0076377C"/>
    <w:rsid w:val="00766451"/>
    <w:rsid w:val="007667AD"/>
    <w:rsid w:val="00766AD6"/>
    <w:rsid w:val="00767508"/>
    <w:rsid w:val="00770889"/>
    <w:rsid w:val="00770DA6"/>
    <w:rsid w:val="00771AA6"/>
    <w:rsid w:val="00772567"/>
    <w:rsid w:val="007727A3"/>
    <w:rsid w:val="007745DC"/>
    <w:rsid w:val="00774B19"/>
    <w:rsid w:val="007763A9"/>
    <w:rsid w:val="007803B4"/>
    <w:rsid w:val="0078052A"/>
    <w:rsid w:val="00780704"/>
    <w:rsid w:val="00780B06"/>
    <w:rsid w:val="00780B52"/>
    <w:rsid w:val="00781BF4"/>
    <w:rsid w:val="00782EA5"/>
    <w:rsid w:val="007835E5"/>
    <w:rsid w:val="00785BC0"/>
    <w:rsid w:val="00785DDB"/>
    <w:rsid w:val="007866C0"/>
    <w:rsid w:val="007905B5"/>
    <w:rsid w:val="00790FA5"/>
    <w:rsid w:val="0079181B"/>
    <w:rsid w:val="007969B0"/>
    <w:rsid w:val="00797E86"/>
    <w:rsid w:val="007A09FA"/>
    <w:rsid w:val="007A09FF"/>
    <w:rsid w:val="007A1B83"/>
    <w:rsid w:val="007A30DE"/>
    <w:rsid w:val="007A4048"/>
    <w:rsid w:val="007A49D9"/>
    <w:rsid w:val="007A4A25"/>
    <w:rsid w:val="007A4E9B"/>
    <w:rsid w:val="007A543D"/>
    <w:rsid w:val="007A5503"/>
    <w:rsid w:val="007A565D"/>
    <w:rsid w:val="007A5CFB"/>
    <w:rsid w:val="007B05EF"/>
    <w:rsid w:val="007B0BD9"/>
    <w:rsid w:val="007B0CB8"/>
    <w:rsid w:val="007B6403"/>
    <w:rsid w:val="007B757B"/>
    <w:rsid w:val="007C0E51"/>
    <w:rsid w:val="007C298F"/>
    <w:rsid w:val="007C3898"/>
    <w:rsid w:val="007C42CA"/>
    <w:rsid w:val="007C4B42"/>
    <w:rsid w:val="007C59A0"/>
    <w:rsid w:val="007C5C97"/>
    <w:rsid w:val="007C5F21"/>
    <w:rsid w:val="007D054E"/>
    <w:rsid w:val="007D0D02"/>
    <w:rsid w:val="007D2943"/>
    <w:rsid w:val="007D37A6"/>
    <w:rsid w:val="007D3FC1"/>
    <w:rsid w:val="007D4C14"/>
    <w:rsid w:val="007D5767"/>
    <w:rsid w:val="007D7606"/>
    <w:rsid w:val="007E3701"/>
    <w:rsid w:val="007E404C"/>
    <w:rsid w:val="007E41FC"/>
    <w:rsid w:val="007E422E"/>
    <w:rsid w:val="007E5190"/>
    <w:rsid w:val="007E529F"/>
    <w:rsid w:val="007E7961"/>
    <w:rsid w:val="007E7CBF"/>
    <w:rsid w:val="007E7E6A"/>
    <w:rsid w:val="007F0B00"/>
    <w:rsid w:val="007F11D9"/>
    <w:rsid w:val="007F23D5"/>
    <w:rsid w:val="007F38C5"/>
    <w:rsid w:val="007F4D5F"/>
    <w:rsid w:val="007F5574"/>
    <w:rsid w:val="007F69A1"/>
    <w:rsid w:val="007F791B"/>
    <w:rsid w:val="00801E32"/>
    <w:rsid w:val="00802530"/>
    <w:rsid w:val="00803217"/>
    <w:rsid w:val="008033B3"/>
    <w:rsid w:val="008046DD"/>
    <w:rsid w:val="00804A2B"/>
    <w:rsid w:val="00805544"/>
    <w:rsid w:val="0080634F"/>
    <w:rsid w:val="0080668F"/>
    <w:rsid w:val="00810F0A"/>
    <w:rsid w:val="00811044"/>
    <w:rsid w:val="00812A30"/>
    <w:rsid w:val="00812EFD"/>
    <w:rsid w:val="00813539"/>
    <w:rsid w:val="00822D47"/>
    <w:rsid w:val="00824AAA"/>
    <w:rsid w:val="0082518A"/>
    <w:rsid w:val="00825FC7"/>
    <w:rsid w:val="00830265"/>
    <w:rsid w:val="0083134F"/>
    <w:rsid w:val="0083151F"/>
    <w:rsid w:val="0083165E"/>
    <w:rsid w:val="00831FB9"/>
    <w:rsid w:val="00832105"/>
    <w:rsid w:val="00832C83"/>
    <w:rsid w:val="00833BC1"/>
    <w:rsid w:val="008344AC"/>
    <w:rsid w:val="008359A8"/>
    <w:rsid w:val="00835D18"/>
    <w:rsid w:val="00835EB3"/>
    <w:rsid w:val="00835F93"/>
    <w:rsid w:val="0083716E"/>
    <w:rsid w:val="00837EEB"/>
    <w:rsid w:val="00840E20"/>
    <w:rsid w:val="00840E98"/>
    <w:rsid w:val="0084133D"/>
    <w:rsid w:val="008413EC"/>
    <w:rsid w:val="008422B1"/>
    <w:rsid w:val="00842463"/>
    <w:rsid w:val="00842C0D"/>
    <w:rsid w:val="00842C38"/>
    <w:rsid w:val="00842F1C"/>
    <w:rsid w:val="008436D5"/>
    <w:rsid w:val="0084400C"/>
    <w:rsid w:val="00844089"/>
    <w:rsid w:val="008442B0"/>
    <w:rsid w:val="008445C8"/>
    <w:rsid w:val="008448D2"/>
    <w:rsid w:val="008452FF"/>
    <w:rsid w:val="00845B49"/>
    <w:rsid w:val="00845D48"/>
    <w:rsid w:val="00845DCA"/>
    <w:rsid w:val="008473C0"/>
    <w:rsid w:val="00847A61"/>
    <w:rsid w:val="00850C5D"/>
    <w:rsid w:val="00851DFC"/>
    <w:rsid w:val="00853D37"/>
    <w:rsid w:val="00854396"/>
    <w:rsid w:val="00854764"/>
    <w:rsid w:val="008548B1"/>
    <w:rsid w:val="008554EB"/>
    <w:rsid w:val="008562FD"/>
    <w:rsid w:val="00857CF3"/>
    <w:rsid w:val="00861E0E"/>
    <w:rsid w:val="008620C1"/>
    <w:rsid w:val="008625DE"/>
    <w:rsid w:val="00863F2A"/>
    <w:rsid w:val="008648C4"/>
    <w:rsid w:val="00865278"/>
    <w:rsid w:val="00865D55"/>
    <w:rsid w:val="00866391"/>
    <w:rsid w:val="00866D7A"/>
    <w:rsid w:val="00867008"/>
    <w:rsid w:val="00867A17"/>
    <w:rsid w:val="00871AF5"/>
    <w:rsid w:val="0087214C"/>
    <w:rsid w:val="00872846"/>
    <w:rsid w:val="00872A79"/>
    <w:rsid w:val="00872D92"/>
    <w:rsid w:val="0087332E"/>
    <w:rsid w:val="00873619"/>
    <w:rsid w:val="008756BE"/>
    <w:rsid w:val="00875B26"/>
    <w:rsid w:val="00875C82"/>
    <w:rsid w:val="00876D40"/>
    <w:rsid w:val="00881220"/>
    <w:rsid w:val="0088133C"/>
    <w:rsid w:val="00881BF1"/>
    <w:rsid w:val="00881D08"/>
    <w:rsid w:val="00881DEE"/>
    <w:rsid w:val="00882F30"/>
    <w:rsid w:val="00885071"/>
    <w:rsid w:val="00885B9F"/>
    <w:rsid w:val="008903F8"/>
    <w:rsid w:val="0089090C"/>
    <w:rsid w:val="00890D30"/>
    <w:rsid w:val="008910AD"/>
    <w:rsid w:val="008915E2"/>
    <w:rsid w:val="008929B6"/>
    <w:rsid w:val="00892D46"/>
    <w:rsid w:val="008932A7"/>
    <w:rsid w:val="008955A5"/>
    <w:rsid w:val="0089700D"/>
    <w:rsid w:val="008973F2"/>
    <w:rsid w:val="008A0D6B"/>
    <w:rsid w:val="008A1BC5"/>
    <w:rsid w:val="008A225D"/>
    <w:rsid w:val="008A2902"/>
    <w:rsid w:val="008A3704"/>
    <w:rsid w:val="008A40F3"/>
    <w:rsid w:val="008A4A4D"/>
    <w:rsid w:val="008A5583"/>
    <w:rsid w:val="008A666E"/>
    <w:rsid w:val="008A7274"/>
    <w:rsid w:val="008A78F2"/>
    <w:rsid w:val="008B1707"/>
    <w:rsid w:val="008B2220"/>
    <w:rsid w:val="008B2B82"/>
    <w:rsid w:val="008B309B"/>
    <w:rsid w:val="008B3BF4"/>
    <w:rsid w:val="008B7040"/>
    <w:rsid w:val="008B792F"/>
    <w:rsid w:val="008C0538"/>
    <w:rsid w:val="008C0DB0"/>
    <w:rsid w:val="008C2C15"/>
    <w:rsid w:val="008C3A03"/>
    <w:rsid w:val="008C3F48"/>
    <w:rsid w:val="008C6503"/>
    <w:rsid w:val="008C71C4"/>
    <w:rsid w:val="008C72E9"/>
    <w:rsid w:val="008C78E9"/>
    <w:rsid w:val="008C7B48"/>
    <w:rsid w:val="008D08E9"/>
    <w:rsid w:val="008D2F94"/>
    <w:rsid w:val="008D3D19"/>
    <w:rsid w:val="008D43DB"/>
    <w:rsid w:val="008D4B98"/>
    <w:rsid w:val="008D62DF"/>
    <w:rsid w:val="008D76D3"/>
    <w:rsid w:val="008E0DEA"/>
    <w:rsid w:val="008E0E54"/>
    <w:rsid w:val="008E15B3"/>
    <w:rsid w:val="008E1629"/>
    <w:rsid w:val="008E1ADC"/>
    <w:rsid w:val="008E278E"/>
    <w:rsid w:val="008E4A2E"/>
    <w:rsid w:val="008E4AA7"/>
    <w:rsid w:val="008E4D2E"/>
    <w:rsid w:val="008E5AED"/>
    <w:rsid w:val="008E673F"/>
    <w:rsid w:val="008E6C41"/>
    <w:rsid w:val="008F0323"/>
    <w:rsid w:val="008F19A1"/>
    <w:rsid w:val="008F321C"/>
    <w:rsid w:val="008F365E"/>
    <w:rsid w:val="008F50FD"/>
    <w:rsid w:val="008F5631"/>
    <w:rsid w:val="008F6700"/>
    <w:rsid w:val="008F720F"/>
    <w:rsid w:val="00900029"/>
    <w:rsid w:val="009010AE"/>
    <w:rsid w:val="0090374C"/>
    <w:rsid w:val="00903CBE"/>
    <w:rsid w:val="009056FB"/>
    <w:rsid w:val="0090623E"/>
    <w:rsid w:val="00907152"/>
    <w:rsid w:val="0090739F"/>
    <w:rsid w:val="00910D7D"/>
    <w:rsid w:val="009118F8"/>
    <w:rsid w:val="00911F97"/>
    <w:rsid w:val="00913B5E"/>
    <w:rsid w:val="00913C07"/>
    <w:rsid w:val="00914E66"/>
    <w:rsid w:val="00915E5B"/>
    <w:rsid w:val="0091622F"/>
    <w:rsid w:val="009167AA"/>
    <w:rsid w:val="00917120"/>
    <w:rsid w:val="009171EC"/>
    <w:rsid w:val="00917418"/>
    <w:rsid w:val="00917882"/>
    <w:rsid w:val="009205A6"/>
    <w:rsid w:val="00920D89"/>
    <w:rsid w:val="009212FE"/>
    <w:rsid w:val="00921E0E"/>
    <w:rsid w:val="00922E56"/>
    <w:rsid w:val="00924257"/>
    <w:rsid w:val="00924D8B"/>
    <w:rsid w:val="00924E7C"/>
    <w:rsid w:val="0092572E"/>
    <w:rsid w:val="00927D48"/>
    <w:rsid w:val="00930FC9"/>
    <w:rsid w:val="00932202"/>
    <w:rsid w:val="00932800"/>
    <w:rsid w:val="0093282E"/>
    <w:rsid w:val="00933507"/>
    <w:rsid w:val="00933DBE"/>
    <w:rsid w:val="00934CCE"/>
    <w:rsid w:val="0093535B"/>
    <w:rsid w:val="00935E04"/>
    <w:rsid w:val="00936863"/>
    <w:rsid w:val="00936E8D"/>
    <w:rsid w:val="00937177"/>
    <w:rsid w:val="009376DD"/>
    <w:rsid w:val="0093776C"/>
    <w:rsid w:val="00940B64"/>
    <w:rsid w:val="00940E4D"/>
    <w:rsid w:val="0094361C"/>
    <w:rsid w:val="00945ABC"/>
    <w:rsid w:val="009464D5"/>
    <w:rsid w:val="00946657"/>
    <w:rsid w:val="00947B89"/>
    <w:rsid w:val="009502CD"/>
    <w:rsid w:val="009507EE"/>
    <w:rsid w:val="009512C2"/>
    <w:rsid w:val="0095137B"/>
    <w:rsid w:val="009518B0"/>
    <w:rsid w:val="00951E4B"/>
    <w:rsid w:val="0095248C"/>
    <w:rsid w:val="00955437"/>
    <w:rsid w:val="00955E3A"/>
    <w:rsid w:val="009574E5"/>
    <w:rsid w:val="009603C1"/>
    <w:rsid w:val="009611EB"/>
    <w:rsid w:val="009624DA"/>
    <w:rsid w:val="00962759"/>
    <w:rsid w:val="00963A03"/>
    <w:rsid w:val="00964A03"/>
    <w:rsid w:val="00964B4C"/>
    <w:rsid w:val="00964D39"/>
    <w:rsid w:val="009659F2"/>
    <w:rsid w:val="0096670E"/>
    <w:rsid w:val="00966ACF"/>
    <w:rsid w:val="00967058"/>
    <w:rsid w:val="00967F9C"/>
    <w:rsid w:val="00967FBF"/>
    <w:rsid w:val="00972AC7"/>
    <w:rsid w:val="009733F7"/>
    <w:rsid w:val="00973C9F"/>
    <w:rsid w:val="00973DC2"/>
    <w:rsid w:val="009761E3"/>
    <w:rsid w:val="00980348"/>
    <w:rsid w:val="00980E8C"/>
    <w:rsid w:val="00982246"/>
    <w:rsid w:val="0098482A"/>
    <w:rsid w:val="00985792"/>
    <w:rsid w:val="00985CEB"/>
    <w:rsid w:val="00986431"/>
    <w:rsid w:val="00986A31"/>
    <w:rsid w:val="00986E05"/>
    <w:rsid w:val="0098703F"/>
    <w:rsid w:val="009875E4"/>
    <w:rsid w:val="009876C3"/>
    <w:rsid w:val="00991445"/>
    <w:rsid w:val="0099173F"/>
    <w:rsid w:val="00992167"/>
    <w:rsid w:val="00992FAC"/>
    <w:rsid w:val="00993DBB"/>
    <w:rsid w:val="009944C0"/>
    <w:rsid w:val="0099474B"/>
    <w:rsid w:val="00994CE3"/>
    <w:rsid w:val="0099582F"/>
    <w:rsid w:val="0099743A"/>
    <w:rsid w:val="0099796C"/>
    <w:rsid w:val="009A0410"/>
    <w:rsid w:val="009A0F0E"/>
    <w:rsid w:val="009A2151"/>
    <w:rsid w:val="009A22E0"/>
    <w:rsid w:val="009A2766"/>
    <w:rsid w:val="009A386B"/>
    <w:rsid w:val="009A548F"/>
    <w:rsid w:val="009A569D"/>
    <w:rsid w:val="009A7644"/>
    <w:rsid w:val="009A7F01"/>
    <w:rsid w:val="009B1D75"/>
    <w:rsid w:val="009B1ED8"/>
    <w:rsid w:val="009B2B6B"/>
    <w:rsid w:val="009B5880"/>
    <w:rsid w:val="009B6028"/>
    <w:rsid w:val="009C042F"/>
    <w:rsid w:val="009C1C08"/>
    <w:rsid w:val="009C20F0"/>
    <w:rsid w:val="009C332E"/>
    <w:rsid w:val="009C3491"/>
    <w:rsid w:val="009C3830"/>
    <w:rsid w:val="009C38E8"/>
    <w:rsid w:val="009C53C5"/>
    <w:rsid w:val="009C6117"/>
    <w:rsid w:val="009C690F"/>
    <w:rsid w:val="009C7907"/>
    <w:rsid w:val="009D00F8"/>
    <w:rsid w:val="009D0B68"/>
    <w:rsid w:val="009D1E7F"/>
    <w:rsid w:val="009D21FB"/>
    <w:rsid w:val="009D33AF"/>
    <w:rsid w:val="009D3518"/>
    <w:rsid w:val="009D40DD"/>
    <w:rsid w:val="009D47D8"/>
    <w:rsid w:val="009D7F6F"/>
    <w:rsid w:val="009E076D"/>
    <w:rsid w:val="009E24DD"/>
    <w:rsid w:val="009E2980"/>
    <w:rsid w:val="009E2D6A"/>
    <w:rsid w:val="009E4AF8"/>
    <w:rsid w:val="009E4EF3"/>
    <w:rsid w:val="009E5259"/>
    <w:rsid w:val="009E5F7D"/>
    <w:rsid w:val="009E6643"/>
    <w:rsid w:val="009E6A35"/>
    <w:rsid w:val="009E75D5"/>
    <w:rsid w:val="009E7703"/>
    <w:rsid w:val="009F0D6F"/>
    <w:rsid w:val="009F1863"/>
    <w:rsid w:val="009F21D1"/>
    <w:rsid w:val="009F259C"/>
    <w:rsid w:val="009F2625"/>
    <w:rsid w:val="009F2B00"/>
    <w:rsid w:val="009F30C3"/>
    <w:rsid w:val="009F352F"/>
    <w:rsid w:val="009F358E"/>
    <w:rsid w:val="009F3C28"/>
    <w:rsid w:val="009F68FC"/>
    <w:rsid w:val="009F73B2"/>
    <w:rsid w:val="00A0146C"/>
    <w:rsid w:val="00A017DF"/>
    <w:rsid w:val="00A01F37"/>
    <w:rsid w:val="00A03B9B"/>
    <w:rsid w:val="00A0569D"/>
    <w:rsid w:val="00A05C05"/>
    <w:rsid w:val="00A070B1"/>
    <w:rsid w:val="00A10210"/>
    <w:rsid w:val="00A10F11"/>
    <w:rsid w:val="00A118BD"/>
    <w:rsid w:val="00A118E7"/>
    <w:rsid w:val="00A11BAB"/>
    <w:rsid w:val="00A127B4"/>
    <w:rsid w:val="00A12EDF"/>
    <w:rsid w:val="00A13156"/>
    <w:rsid w:val="00A13794"/>
    <w:rsid w:val="00A156D1"/>
    <w:rsid w:val="00A15D73"/>
    <w:rsid w:val="00A20014"/>
    <w:rsid w:val="00A20E2C"/>
    <w:rsid w:val="00A2193F"/>
    <w:rsid w:val="00A21EDF"/>
    <w:rsid w:val="00A2266D"/>
    <w:rsid w:val="00A22FC4"/>
    <w:rsid w:val="00A2304D"/>
    <w:rsid w:val="00A24D55"/>
    <w:rsid w:val="00A255CD"/>
    <w:rsid w:val="00A259E8"/>
    <w:rsid w:val="00A26597"/>
    <w:rsid w:val="00A30001"/>
    <w:rsid w:val="00A30F43"/>
    <w:rsid w:val="00A31558"/>
    <w:rsid w:val="00A31D44"/>
    <w:rsid w:val="00A31EEB"/>
    <w:rsid w:val="00A32ECA"/>
    <w:rsid w:val="00A33B68"/>
    <w:rsid w:val="00A33BAB"/>
    <w:rsid w:val="00A34079"/>
    <w:rsid w:val="00A34185"/>
    <w:rsid w:val="00A34C08"/>
    <w:rsid w:val="00A35554"/>
    <w:rsid w:val="00A35C46"/>
    <w:rsid w:val="00A35DF3"/>
    <w:rsid w:val="00A35F02"/>
    <w:rsid w:val="00A36FE7"/>
    <w:rsid w:val="00A37B04"/>
    <w:rsid w:val="00A40A6D"/>
    <w:rsid w:val="00A4158E"/>
    <w:rsid w:val="00A418D2"/>
    <w:rsid w:val="00A4321B"/>
    <w:rsid w:val="00A432FD"/>
    <w:rsid w:val="00A4383B"/>
    <w:rsid w:val="00A44C32"/>
    <w:rsid w:val="00A45010"/>
    <w:rsid w:val="00A4505C"/>
    <w:rsid w:val="00A4506E"/>
    <w:rsid w:val="00A4651A"/>
    <w:rsid w:val="00A473BD"/>
    <w:rsid w:val="00A47C87"/>
    <w:rsid w:val="00A5014B"/>
    <w:rsid w:val="00A50216"/>
    <w:rsid w:val="00A50808"/>
    <w:rsid w:val="00A51089"/>
    <w:rsid w:val="00A51D81"/>
    <w:rsid w:val="00A525FB"/>
    <w:rsid w:val="00A535BE"/>
    <w:rsid w:val="00A55592"/>
    <w:rsid w:val="00A608BE"/>
    <w:rsid w:val="00A6097C"/>
    <w:rsid w:val="00A60CCF"/>
    <w:rsid w:val="00A63123"/>
    <w:rsid w:val="00A64E2C"/>
    <w:rsid w:val="00A6594B"/>
    <w:rsid w:val="00A6739D"/>
    <w:rsid w:val="00A71261"/>
    <w:rsid w:val="00A7302F"/>
    <w:rsid w:val="00A7534B"/>
    <w:rsid w:val="00A75727"/>
    <w:rsid w:val="00A76B70"/>
    <w:rsid w:val="00A76DF8"/>
    <w:rsid w:val="00A8065D"/>
    <w:rsid w:val="00A80F5B"/>
    <w:rsid w:val="00A820A3"/>
    <w:rsid w:val="00A82428"/>
    <w:rsid w:val="00A82A65"/>
    <w:rsid w:val="00A83C1B"/>
    <w:rsid w:val="00A84BDB"/>
    <w:rsid w:val="00A851AB"/>
    <w:rsid w:val="00A85686"/>
    <w:rsid w:val="00A85EF0"/>
    <w:rsid w:val="00A861CB"/>
    <w:rsid w:val="00A87F7C"/>
    <w:rsid w:val="00A905EE"/>
    <w:rsid w:val="00A906B6"/>
    <w:rsid w:val="00A925EB"/>
    <w:rsid w:val="00A9574E"/>
    <w:rsid w:val="00A95D7E"/>
    <w:rsid w:val="00A96169"/>
    <w:rsid w:val="00A971EC"/>
    <w:rsid w:val="00A97200"/>
    <w:rsid w:val="00A97228"/>
    <w:rsid w:val="00AA2086"/>
    <w:rsid w:val="00AA2F35"/>
    <w:rsid w:val="00AA3DD5"/>
    <w:rsid w:val="00AA44C5"/>
    <w:rsid w:val="00AA4A50"/>
    <w:rsid w:val="00AA4CBD"/>
    <w:rsid w:val="00AA4DFA"/>
    <w:rsid w:val="00AA5423"/>
    <w:rsid w:val="00AA631F"/>
    <w:rsid w:val="00AA7994"/>
    <w:rsid w:val="00AB1BBD"/>
    <w:rsid w:val="00AB2F7D"/>
    <w:rsid w:val="00AB42EB"/>
    <w:rsid w:val="00AB4BA7"/>
    <w:rsid w:val="00AB4E44"/>
    <w:rsid w:val="00AB4EF3"/>
    <w:rsid w:val="00AB5089"/>
    <w:rsid w:val="00AB5A45"/>
    <w:rsid w:val="00AB5C61"/>
    <w:rsid w:val="00AB652F"/>
    <w:rsid w:val="00AC0438"/>
    <w:rsid w:val="00AC0CB7"/>
    <w:rsid w:val="00AC0D9A"/>
    <w:rsid w:val="00AC0F62"/>
    <w:rsid w:val="00AC10A8"/>
    <w:rsid w:val="00AC12BA"/>
    <w:rsid w:val="00AC1871"/>
    <w:rsid w:val="00AC1E32"/>
    <w:rsid w:val="00AC3451"/>
    <w:rsid w:val="00AC3545"/>
    <w:rsid w:val="00AC38B3"/>
    <w:rsid w:val="00AC446A"/>
    <w:rsid w:val="00AC4DE1"/>
    <w:rsid w:val="00AC6AF3"/>
    <w:rsid w:val="00AC6CCE"/>
    <w:rsid w:val="00AC7D82"/>
    <w:rsid w:val="00AD022E"/>
    <w:rsid w:val="00AD1054"/>
    <w:rsid w:val="00AD12FC"/>
    <w:rsid w:val="00AD18EF"/>
    <w:rsid w:val="00AD230D"/>
    <w:rsid w:val="00AD28EB"/>
    <w:rsid w:val="00AD3E34"/>
    <w:rsid w:val="00AD4108"/>
    <w:rsid w:val="00AD4B7E"/>
    <w:rsid w:val="00AD4F19"/>
    <w:rsid w:val="00AD71E5"/>
    <w:rsid w:val="00AD7782"/>
    <w:rsid w:val="00AD78AF"/>
    <w:rsid w:val="00AD7B0C"/>
    <w:rsid w:val="00AE0383"/>
    <w:rsid w:val="00AE0970"/>
    <w:rsid w:val="00AE128C"/>
    <w:rsid w:val="00AE1D46"/>
    <w:rsid w:val="00AE2C51"/>
    <w:rsid w:val="00AE6D05"/>
    <w:rsid w:val="00AE7464"/>
    <w:rsid w:val="00AE7887"/>
    <w:rsid w:val="00AE7BD9"/>
    <w:rsid w:val="00AE7CD3"/>
    <w:rsid w:val="00AF061A"/>
    <w:rsid w:val="00AF0627"/>
    <w:rsid w:val="00AF1C2A"/>
    <w:rsid w:val="00AF201C"/>
    <w:rsid w:val="00AF21BC"/>
    <w:rsid w:val="00AF311E"/>
    <w:rsid w:val="00AF3A7E"/>
    <w:rsid w:val="00AF405A"/>
    <w:rsid w:val="00AF43CD"/>
    <w:rsid w:val="00AF4E15"/>
    <w:rsid w:val="00AF5372"/>
    <w:rsid w:val="00AF5635"/>
    <w:rsid w:val="00AF59BA"/>
    <w:rsid w:val="00B008E3"/>
    <w:rsid w:val="00B0147E"/>
    <w:rsid w:val="00B0186C"/>
    <w:rsid w:val="00B02265"/>
    <w:rsid w:val="00B02EE0"/>
    <w:rsid w:val="00B02F7E"/>
    <w:rsid w:val="00B030E9"/>
    <w:rsid w:val="00B03FC4"/>
    <w:rsid w:val="00B04049"/>
    <w:rsid w:val="00B04898"/>
    <w:rsid w:val="00B0797F"/>
    <w:rsid w:val="00B07E9E"/>
    <w:rsid w:val="00B120AC"/>
    <w:rsid w:val="00B125FE"/>
    <w:rsid w:val="00B1262D"/>
    <w:rsid w:val="00B1313A"/>
    <w:rsid w:val="00B13166"/>
    <w:rsid w:val="00B13E2E"/>
    <w:rsid w:val="00B140AE"/>
    <w:rsid w:val="00B1442B"/>
    <w:rsid w:val="00B14963"/>
    <w:rsid w:val="00B14A17"/>
    <w:rsid w:val="00B15341"/>
    <w:rsid w:val="00B15DA2"/>
    <w:rsid w:val="00B1702C"/>
    <w:rsid w:val="00B17705"/>
    <w:rsid w:val="00B20148"/>
    <w:rsid w:val="00B20E67"/>
    <w:rsid w:val="00B213F4"/>
    <w:rsid w:val="00B21A6E"/>
    <w:rsid w:val="00B228AF"/>
    <w:rsid w:val="00B24526"/>
    <w:rsid w:val="00B27059"/>
    <w:rsid w:val="00B2797F"/>
    <w:rsid w:val="00B30710"/>
    <w:rsid w:val="00B3072E"/>
    <w:rsid w:val="00B308D6"/>
    <w:rsid w:val="00B31D19"/>
    <w:rsid w:val="00B31F6D"/>
    <w:rsid w:val="00B3201D"/>
    <w:rsid w:val="00B332FE"/>
    <w:rsid w:val="00B348C8"/>
    <w:rsid w:val="00B358F4"/>
    <w:rsid w:val="00B36E03"/>
    <w:rsid w:val="00B40A32"/>
    <w:rsid w:val="00B40F65"/>
    <w:rsid w:val="00B41683"/>
    <w:rsid w:val="00B41798"/>
    <w:rsid w:val="00B42A20"/>
    <w:rsid w:val="00B42AE5"/>
    <w:rsid w:val="00B4389B"/>
    <w:rsid w:val="00B438C4"/>
    <w:rsid w:val="00B43AA3"/>
    <w:rsid w:val="00B44B06"/>
    <w:rsid w:val="00B451AE"/>
    <w:rsid w:val="00B45209"/>
    <w:rsid w:val="00B4554C"/>
    <w:rsid w:val="00B45C54"/>
    <w:rsid w:val="00B46EB5"/>
    <w:rsid w:val="00B47889"/>
    <w:rsid w:val="00B502B8"/>
    <w:rsid w:val="00B50370"/>
    <w:rsid w:val="00B54AAD"/>
    <w:rsid w:val="00B552E5"/>
    <w:rsid w:val="00B56B8C"/>
    <w:rsid w:val="00B56CDB"/>
    <w:rsid w:val="00B57938"/>
    <w:rsid w:val="00B57B35"/>
    <w:rsid w:val="00B62D55"/>
    <w:rsid w:val="00B62DAF"/>
    <w:rsid w:val="00B64FEC"/>
    <w:rsid w:val="00B67877"/>
    <w:rsid w:val="00B706BE"/>
    <w:rsid w:val="00B710D1"/>
    <w:rsid w:val="00B71B06"/>
    <w:rsid w:val="00B71DBD"/>
    <w:rsid w:val="00B72F48"/>
    <w:rsid w:val="00B7341E"/>
    <w:rsid w:val="00B73E88"/>
    <w:rsid w:val="00B74104"/>
    <w:rsid w:val="00B75420"/>
    <w:rsid w:val="00B7616C"/>
    <w:rsid w:val="00B76B44"/>
    <w:rsid w:val="00B8035A"/>
    <w:rsid w:val="00B808F7"/>
    <w:rsid w:val="00B80991"/>
    <w:rsid w:val="00B80FE3"/>
    <w:rsid w:val="00B81B2B"/>
    <w:rsid w:val="00B84509"/>
    <w:rsid w:val="00B84EFF"/>
    <w:rsid w:val="00B8715B"/>
    <w:rsid w:val="00B901F9"/>
    <w:rsid w:val="00B90756"/>
    <w:rsid w:val="00B92F44"/>
    <w:rsid w:val="00B93974"/>
    <w:rsid w:val="00B93E17"/>
    <w:rsid w:val="00B949C9"/>
    <w:rsid w:val="00B965E5"/>
    <w:rsid w:val="00B96FD4"/>
    <w:rsid w:val="00B972F7"/>
    <w:rsid w:val="00B97A4D"/>
    <w:rsid w:val="00BA1007"/>
    <w:rsid w:val="00BA2A4F"/>
    <w:rsid w:val="00BA2AE3"/>
    <w:rsid w:val="00BA325F"/>
    <w:rsid w:val="00BA37AD"/>
    <w:rsid w:val="00BA3FFF"/>
    <w:rsid w:val="00BA45FE"/>
    <w:rsid w:val="00BA591D"/>
    <w:rsid w:val="00BA67B6"/>
    <w:rsid w:val="00BA6F96"/>
    <w:rsid w:val="00BB1291"/>
    <w:rsid w:val="00BB3948"/>
    <w:rsid w:val="00BB4BE0"/>
    <w:rsid w:val="00BB5486"/>
    <w:rsid w:val="00BB5A5B"/>
    <w:rsid w:val="00BB6F4A"/>
    <w:rsid w:val="00BB70FB"/>
    <w:rsid w:val="00BB77F8"/>
    <w:rsid w:val="00BB79C7"/>
    <w:rsid w:val="00BB7C1A"/>
    <w:rsid w:val="00BC0417"/>
    <w:rsid w:val="00BC30BC"/>
    <w:rsid w:val="00BD0AAD"/>
    <w:rsid w:val="00BD1066"/>
    <w:rsid w:val="00BD139A"/>
    <w:rsid w:val="00BD218E"/>
    <w:rsid w:val="00BD25B2"/>
    <w:rsid w:val="00BD3350"/>
    <w:rsid w:val="00BD5E2D"/>
    <w:rsid w:val="00BD7B9D"/>
    <w:rsid w:val="00BD7F6B"/>
    <w:rsid w:val="00BE0058"/>
    <w:rsid w:val="00BE02B2"/>
    <w:rsid w:val="00BE0641"/>
    <w:rsid w:val="00BE0F6C"/>
    <w:rsid w:val="00BE0FB1"/>
    <w:rsid w:val="00BE12BF"/>
    <w:rsid w:val="00BE1B75"/>
    <w:rsid w:val="00BE513C"/>
    <w:rsid w:val="00BE524A"/>
    <w:rsid w:val="00BE5AA8"/>
    <w:rsid w:val="00BF0504"/>
    <w:rsid w:val="00BF0C4B"/>
    <w:rsid w:val="00BF0D19"/>
    <w:rsid w:val="00BF154A"/>
    <w:rsid w:val="00BF24DA"/>
    <w:rsid w:val="00BF3080"/>
    <w:rsid w:val="00BF367C"/>
    <w:rsid w:val="00BF3B74"/>
    <w:rsid w:val="00BF5352"/>
    <w:rsid w:val="00BF56A0"/>
    <w:rsid w:val="00BF6403"/>
    <w:rsid w:val="00BF725E"/>
    <w:rsid w:val="00C006EC"/>
    <w:rsid w:val="00C01214"/>
    <w:rsid w:val="00C01AC9"/>
    <w:rsid w:val="00C02810"/>
    <w:rsid w:val="00C02A67"/>
    <w:rsid w:val="00C02F4B"/>
    <w:rsid w:val="00C03D0F"/>
    <w:rsid w:val="00C04924"/>
    <w:rsid w:val="00C04D49"/>
    <w:rsid w:val="00C074A9"/>
    <w:rsid w:val="00C07A18"/>
    <w:rsid w:val="00C13C37"/>
    <w:rsid w:val="00C14C5D"/>
    <w:rsid w:val="00C14D26"/>
    <w:rsid w:val="00C16CFF"/>
    <w:rsid w:val="00C16DFE"/>
    <w:rsid w:val="00C16F31"/>
    <w:rsid w:val="00C20153"/>
    <w:rsid w:val="00C21895"/>
    <w:rsid w:val="00C23319"/>
    <w:rsid w:val="00C23494"/>
    <w:rsid w:val="00C23BC3"/>
    <w:rsid w:val="00C23CDD"/>
    <w:rsid w:val="00C25158"/>
    <w:rsid w:val="00C26D77"/>
    <w:rsid w:val="00C319A5"/>
    <w:rsid w:val="00C3216D"/>
    <w:rsid w:val="00C32D37"/>
    <w:rsid w:val="00C330A1"/>
    <w:rsid w:val="00C3320B"/>
    <w:rsid w:val="00C34224"/>
    <w:rsid w:val="00C34D1F"/>
    <w:rsid w:val="00C351DF"/>
    <w:rsid w:val="00C3553B"/>
    <w:rsid w:val="00C3556A"/>
    <w:rsid w:val="00C35EDB"/>
    <w:rsid w:val="00C36A60"/>
    <w:rsid w:val="00C36ED1"/>
    <w:rsid w:val="00C37AF8"/>
    <w:rsid w:val="00C37BC0"/>
    <w:rsid w:val="00C402EE"/>
    <w:rsid w:val="00C4059D"/>
    <w:rsid w:val="00C40626"/>
    <w:rsid w:val="00C418EB"/>
    <w:rsid w:val="00C43603"/>
    <w:rsid w:val="00C437A2"/>
    <w:rsid w:val="00C45C1D"/>
    <w:rsid w:val="00C472D1"/>
    <w:rsid w:val="00C476FC"/>
    <w:rsid w:val="00C47A7B"/>
    <w:rsid w:val="00C47D12"/>
    <w:rsid w:val="00C50BCA"/>
    <w:rsid w:val="00C50D05"/>
    <w:rsid w:val="00C50EA4"/>
    <w:rsid w:val="00C52E6D"/>
    <w:rsid w:val="00C55547"/>
    <w:rsid w:val="00C56756"/>
    <w:rsid w:val="00C575DB"/>
    <w:rsid w:val="00C6070A"/>
    <w:rsid w:val="00C611A1"/>
    <w:rsid w:val="00C61570"/>
    <w:rsid w:val="00C61EC0"/>
    <w:rsid w:val="00C6332F"/>
    <w:rsid w:val="00C63DC2"/>
    <w:rsid w:val="00C65F88"/>
    <w:rsid w:val="00C66380"/>
    <w:rsid w:val="00C66406"/>
    <w:rsid w:val="00C6645B"/>
    <w:rsid w:val="00C66947"/>
    <w:rsid w:val="00C67064"/>
    <w:rsid w:val="00C670FB"/>
    <w:rsid w:val="00C705F1"/>
    <w:rsid w:val="00C7071E"/>
    <w:rsid w:val="00C71092"/>
    <w:rsid w:val="00C723FD"/>
    <w:rsid w:val="00C72CDB"/>
    <w:rsid w:val="00C7411F"/>
    <w:rsid w:val="00C7499B"/>
    <w:rsid w:val="00C754B1"/>
    <w:rsid w:val="00C75E8C"/>
    <w:rsid w:val="00C77279"/>
    <w:rsid w:val="00C8104F"/>
    <w:rsid w:val="00C82CDF"/>
    <w:rsid w:val="00C82F8F"/>
    <w:rsid w:val="00C8452B"/>
    <w:rsid w:val="00C8495D"/>
    <w:rsid w:val="00C8518C"/>
    <w:rsid w:val="00C856B4"/>
    <w:rsid w:val="00C87086"/>
    <w:rsid w:val="00C901C2"/>
    <w:rsid w:val="00C90F6D"/>
    <w:rsid w:val="00C9104D"/>
    <w:rsid w:val="00C91206"/>
    <w:rsid w:val="00C91E94"/>
    <w:rsid w:val="00C935C0"/>
    <w:rsid w:val="00C9432C"/>
    <w:rsid w:val="00C97695"/>
    <w:rsid w:val="00CA012C"/>
    <w:rsid w:val="00CA0417"/>
    <w:rsid w:val="00CA0D62"/>
    <w:rsid w:val="00CA33F4"/>
    <w:rsid w:val="00CA6C90"/>
    <w:rsid w:val="00CB0861"/>
    <w:rsid w:val="00CB1075"/>
    <w:rsid w:val="00CB3DAD"/>
    <w:rsid w:val="00CB3EE6"/>
    <w:rsid w:val="00CB408E"/>
    <w:rsid w:val="00CB542F"/>
    <w:rsid w:val="00CB56FA"/>
    <w:rsid w:val="00CB598D"/>
    <w:rsid w:val="00CB696D"/>
    <w:rsid w:val="00CC0574"/>
    <w:rsid w:val="00CC072B"/>
    <w:rsid w:val="00CC0DA3"/>
    <w:rsid w:val="00CC1271"/>
    <w:rsid w:val="00CC17C8"/>
    <w:rsid w:val="00CC17E7"/>
    <w:rsid w:val="00CC3CA0"/>
    <w:rsid w:val="00CC3E60"/>
    <w:rsid w:val="00CC535C"/>
    <w:rsid w:val="00CC6D21"/>
    <w:rsid w:val="00CC7795"/>
    <w:rsid w:val="00CD193D"/>
    <w:rsid w:val="00CD2D49"/>
    <w:rsid w:val="00CD48F9"/>
    <w:rsid w:val="00CD50C9"/>
    <w:rsid w:val="00CD623F"/>
    <w:rsid w:val="00CD67A6"/>
    <w:rsid w:val="00CD79DC"/>
    <w:rsid w:val="00CE0729"/>
    <w:rsid w:val="00CE0856"/>
    <w:rsid w:val="00CE0CFB"/>
    <w:rsid w:val="00CE11C4"/>
    <w:rsid w:val="00CE18F5"/>
    <w:rsid w:val="00CE3580"/>
    <w:rsid w:val="00CE4893"/>
    <w:rsid w:val="00CE4D28"/>
    <w:rsid w:val="00CE5054"/>
    <w:rsid w:val="00CE6DDA"/>
    <w:rsid w:val="00CE7D82"/>
    <w:rsid w:val="00CF0180"/>
    <w:rsid w:val="00CF0623"/>
    <w:rsid w:val="00CF22FA"/>
    <w:rsid w:val="00CF3578"/>
    <w:rsid w:val="00CF3CDD"/>
    <w:rsid w:val="00CF4334"/>
    <w:rsid w:val="00CF6E2B"/>
    <w:rsid w:val="00CF6F55"/>
    <w:rsid w:val="00CF7862"/>
    <w:rsid w:val="00D013B4"/>
    <w:rsid w:val="00D01785"/>
    <w:rsid w:val="00D020BD"/>
    <w:rsid w:val="00D0312C"/>
    <w:rsid w:val="00D03F36"/>
    <w:rsid w:val="00D05CA4"/>
    <w:rsid w:val="00D05DEF"/>
    <w:rsid w:val="00D0787F"/>
    <w:rsid w:val="00D10037"/>
    <w:rsid w:val="00D104EE"/>
    <w:rsid w:val="00D1085D"/>
    <w:rsid w:val="00D11078"/>
    <w:rsid w:val="00D13712"/>
    <w:rsid w:val="00D13BCE"/>
    <w:rsid w:val="00D14953"/>
    <w:rsid w:val="00D14AEA"/>
    <w:rsid w:val="00D14CBA"/>
    <w:rsid w:val="00D14D9A"/>
    <w:rsid w:val="00D15E31"/>
    <w:rsid w:val="00D178F1"/>
    <w:rsid w:val="00D214AF"/>
    <w:rsid w:val="00D21779"/>
    <w:rsid w:val="00D223DE"/>
    <w:rsid w:val="00D224FB"/>
    <w:rsid w:val="00D23833"/>
    <w:rsid w:val="00D25089"/>
    <w:rsid w:val="00D25FA1"/>
    <w:rsid w:val="00D30203"/>
    <w:rsid w:val="00D308D1"/>
    <w:rsid w:val="00D32657"/>
    <w:rsid w:val="00D348FD"/>
    <w:rsid w:val="00D35BB5"/>
    <w:rsid w:val="00D3669B"/>
    <w:rsid w:val="00D375A1"/>
    <w:rsid w:val="00D376B4"/>
    <w:rsid w:val="00D376BF"/>
    <w:rsid w:val="00D37A86"/>
    <w:rsid w:val="00D40CFD"/>
    <w:rsid w:val="00D41081"/>
    <w:rsid w:val="00D429D2"/>
    <w:rsid w:val="00D42F1B"/>
    <w:rsid w:val="00D4405E"/>
    <w:rsid w:val="00D44B1C"/>
    <w:rsid w:val="00D45083"/>
    <w:rsid w:val="00D45A04"/>
    <w:rsid w:val="00D46357"/>
    <w:rsid w:val="00D478BA"/>
    <w:rsid w:val="00D50A29"/>
    <w:rsid w:val="00D51209"/>
    <w:rsid w:val="00D52D0D"/>
    <w:rsid w:val="00D52DB8"/>
    <w:rsid w:val="00D53721"/>
    <w:rsid w:val="00D55BF8"/>
    <w:rsid w:val="00D568EA"/>
    <w:rsid w:val="00D56DC8"/>
    <w:rsid w:val="00D57902"/>
    <w:rsid w:val="00D57DAE"/>
    <w:rsid w:val="00D606F9"/>
    <w:rsid w:val="00D6178A"/>
    <w:rsid w:val="00D61D15"/>
    <w:rsid w:val="00D628F9"/>
    <w:rsid w:val="00D64596"/>
    <w:rsid w:val="00D6615F"/>
    <w:rsid w:val="00D67107"/>
    <w:rsid w:val="00D67569"/>
    <w:rsid w:val="00D67BDF"/>
    <w:rsid w:val="00D67DCE"/>
    <w:rsid w:val="00D700E5"/>
    <w:rsid w:val="00D71B0C"/>
    <w:rsid w:val="00D73649"/>
    <w:rsid w:val="00D737C0"/>
    <w:rsid w:val="00D7473F"/>
    <w:rsid w:val="00D749B6"/>
    <w:rsid w:val="00D74B97"/>
    <w:rsid w:val="00D76A8F"/>
    <w:rsid w:val="00D772B2"/>
    <w:rsid w:val="00D77D83"/>
    <w:rsid w:val="00D81248"/>
    <w:rsid w:val="00D8221C"/>
    <w:rsid w:val="00D82DF3"/>
    <w:rsid w:val="00D84BFF"/>
    <w:rsid w:val="00D85097"/>
    <w:rsid w:val="00D85391"/>
    <w:rsid w:val="00D8569E"/>
    <w:rsid w:val="00D879B5"/>
    <w:rsid w:val="00D928BE"/>
    <w:rsid w:val="00D936FC"/>
    <w:rsid w:val="00D93F47"/>
    <w:rsid w:val="00D9433D"/>
    <w:rsid w:val="00D952A5"/>
    <w:rsid w:val="00D96523"/>
    <w:rsid w:val="00D96A9A"/>
    <w:rsid w:val="00D973C6"/>
    <w:rsid w:val="00D9792F"/>
    <w:rsid w:val="00D97C44"/>
    <w:rsid w:val="00DA1602"/>
    <w:rsid w:val="00DA1799"/>
    <w:rsid w:val="00DA277F"/>
    <w:rsid w:val="00DA34CA"/>
    <w:rsid w:val="00DA479C"/>
    <w:rsid w:val="00DA5034"/>
    <w:rsid w:val="00DA55A3"/>
    <w:rsid w:val="00DA5ADA"/>
    <w:rsid w:val="00DA718F"/>
    <w:rsid w:val="00DB1BB3"/>
    <w:rsid w:val="00DB4896"/>
    <w:rsid w:val="00DB5EBF"/>
    <w:rsid w:val="00DB7C68"/>
    <w:rsid w:val="00DC4D6A"/>
    <w:rsid w:val="00DC570C"/>
    <w:rsid w:val="00DC72DC"/>
    <w:rsid w:val="00DC74B6"/>
    <w:rsid w:val="00DD076A"/>
    <w:rsid w:val="00DD191D"/>
    <w:rsid w:val="00DD2239"/>
    <w:rsid w:val="00DD27F2"/>
    <w:rsid w:val="00DD2FAD"/>
    <w:rsid w:val="00DD4ED1"/>
    <w:rsid w:val="00DD5C7E"/>
    <w:rsid w:val="00DD6CED"/>
    <w:rsid w:val="00DD7414"/>
    <w:rsid w:val="00DD7886"/>
    <w:rsid w:val="00DE0467"/>
    <w:rsid w:val="00DE0AAE"/>
    <w:rsid w:val="00DE247E"/>
    <w:rsid w:val="00DE33E4"/>
    <w:rsid w:val="00DE6869"/>
    <w:rsid w:val="00DE705E"/>
    <w:rsid w:val="00DE7DEE"/>
    <w:rsid w:val="00DF0119"/>
    <w:rsid w:val="00DF05DD"/>
    <w:rsid w:val="00DF170B"/>
    <w:rsid w:val="00DF3532"/>
    <w:rsid w:val="00DF35B5"/>
    <w:rsid w:val="00DF48FC"/>
    <w:rsid w:val="00DF4AEA"/>
    <w:rsid w:val="00DF612C"/>
    <w:rsid w:val="00DF619E"/>
    <w:rsid w:val="00DF67D1"/>
    <w:rsid w:val="00DF75D1"/>
    <w:rsid w:val="00DF7964"/>
    <w:rsid w:val="00E029C2"/>
    <w:rsid w:val="00E02A56"/>
    <w:rsid w:val="00E03CB3"/>
    <w:rsid w:val="00E03F3D"/>
    <w:rsid w:val="00E0417C"/>
    <w:rsid w:val="00E04503"/>
    <w:rsid w:val="00E04A0B"/>
    <w:rsid w:val="00E04B4A"/>
    <w:rsid w:val="00E05EE5"/>
    <w:rsid w:val="00E07A19"/>
    <w:rsid w:val="00E1001C"/>
    <w:rsid w:val="00E114C3"/>
    <w:rsid w:val="00E11635"/>
    <w:rsid w:val="00E11787"/>
    <w:rsid w:val="00E12AF3"/>
    <w:rsid w:val="00E12E9D"/>
    <w:rsid w:val="00E14980"/>
    <w:rsid w:val="00E14B5C"/>
    <w:rsid w:val="00E16423"/>
    <w:rsid w:val="00E1693A"/>
    <w:rsid w:val="00E1753A"/>
    <w:rsid w:val="00E175F3"/>
    <w:rsid w:val="00E20A1F"/>
    <w:rsid w:val="00E24F21"/>
    <w:rsid w:val="00E24F35"/>
    <w:rsid w:val="00E2788C"/>
    <w:rsid w:val="00E27A87"/>
    <w:rsid w:val="00E31BA3"/>
    <w:rsid w:val="00E32885"/>
    <w:rsid w:val="00E334A6"/>
    <w:rsid w:val="00E3433E"/>
    <w:rsid w:val="00E346FB"/>
    <w:rsid w:val="00E34ED5"/>
    <w:rsid w:val="00E37877"/>
    <w:rsid w:val="00E408CB"/>
    <w:rsid w:val="00E40A3C"/>
    <w:rsid w:val="00E40C98"/>
    <w:rsid w:val="00E4116B"/>
    <w:rsid w:val="00E41319"/>
    <w:rsid w:val="00E421BA"/>
    <w:rsid w:val="00E428D7"/>
    <w:rsid w:val="00E43E07"/>
    <w:rsid w:val="00E44349"/>
    <w:rsid w:val="00E4446A"/>
    <w:rsid w:val="00E44D13"/>
    <w:rsid w:val="00E46431"/>
    <w:rsid w:val="00E47DE2"/>
    <w:rsid w:val="00E51A20"/>
    <w:rsid w:val="00E52372"/>
    <w:rsid w:val="00E53614"/>
    <w:rsid w:val="00E536C6"/>
    <w:rsid w:val="00E53870"/>
    <w:rsid w:val="00E542C6"/>
    <w:rsid w:val="00E54653"/>
    <w:rsid w:val="00E54E85"/>
    <w:rsid w:val="00E56018"/>
    <w:rsid w:val="00E5721A"/>
    <w:rsid w:val="00E60FEA"/>
    <w:rsid w:val="00E6152D"/>
    <w:rsid w:val="00E62056"/>
    <w:rsid w:val="00E62280"/>
    <w:rsid w:val="00E625D6"/>
    <w:rsid w:val="00E63021"/>
    <w:rsid w:val="00E6319F"/>
    <w:rsid w:val="00E63722"/>
    <w:rsid w:val="00E648A7"/>
    <w:rsid w:val="00E660F6"/>
    <w:rsid w:val="00E674E0"/>
    <w:rsid w:val="00E716B9"/>
    <w:rsid w:val="00E71ADF"/>
    <w:rsid w:val="00E73D1E"/>
    <w:rsid w:val="00E74569"/>
    <w:rsid w:val="00E76725"/>
    <w:rsid w:val="00E775C4"/>
    <w:rsid w:val="00E80471"/>
    <w:rsid w:val="00E80BBA"/>
    <w:rsid w:val="00E81C21"/>
    <w:rsid w:val="00E837E3"/>
    <w:rsid w:val="00E838E5"/>
    <w:rsid w:val="00E8555A"/>
    <w:rsid w:val="00E86EDB"/>
    <w:rsid w:val="00E87302"/>
    <w:rsid w:val="00E87628"/>
    <w:rsid w:val="00E8768A"/>
    <w:rsid w:val="00E87B73"/>
    <w:rsid w:val="00E90450"/>
    <w:rsid w:val="00E90D4C"/>
    <w:rsid w:val="00E91422"/>
    <w:rsid w:val="00E916FD"/>
    <w:rsid w:val="00E918F3"/>
    <w:rsid w:val="00E9221B"/>
    <w:rsid w:val="00E92ADC"/>
    <w:rsid w:val="00E92C93"/>
    <w:rsid w:val="00E93313"/>
    <w:rsid w:val="00E972C2"/>
    <w:rsid w:val="00E97FDA"/>
    <w:rsid w:val="00EA0033"/>
    <w:rsid w:val="00EA0F1E"/>
    <w:rsid w:val="00EA12FD"/>
    <w:rsid w:val="00EA2D45"/>
    <w:rsid w:val="00EA4C19"/>
    <w:rsid w:val="00EA4F3D"/>
    <w:rsid w:val="00EA7D02"/>
    <w:rsid w:val="00EB05A1"/>
    <w:rsid w:val="00EB1521"/>
    <w:rsid w:val="00EB1CAA"/>
    <w:rsid w:val="00EB1CDC"/>
    <w:rsid w:val="00EB3385"/>
    <w:rsid w:val="00EB39B1"/>
    <w:rsid w:val="00EB4490"/>
    <w:rsid w:val="00EB4573"/>
    <w:rsid w:val="00EB5554"/>
    <w:rsid w:val="00EB5A9C"/>
    <w:rsid w:val="00EB5FFA"/>
    <w:rsid w:val="00EB680C"/>
    <w:rsid w:val="00EB7907"/>
    <w:rsid w:val="00EB7E20"/>
    <w:rsid w:val="00EC0D11"/>
    <w:rsid w:val="00EC0E7F"/>
    <w:rsid w:val="00EC114E"/>
    <w:rsid w:val="00EC1B94"/>
    <w:rsid w:val="00EC1DA4"/>
    <w:rsid w:val="00EC215C"/>
    <w:rsid w:val="00EC2633"/>
    <w:rsid w:val="00EC460A"/>
    <w:rsid w:val="00EC4C48"/>
    <w:rsid w:val="00EC4D5A"/>
    <w:rsid w:val="00EC6894"/>
    <w:rsid w:val="00EC6F89"/>
    <w:rsid w:val="00ED0363"/>
    <w:rsid w:val="00ED03EC"/>
    <w:rsid w:val="00ED0548"/>
    <w:rsid w:val="00ED269D"/>
    <w:rsid w:val="00ED2953"/>
    <w:rsid w:val="00ED5946"/>
    <w:rsid w:val="00ED7A49"/>
    <w:rsid w:val="00ED7B36"/>
    <w:rsid w:val="00ED7EC7"/>
    <w:rsid w:val="00EE087A"/>
    <w:rsid w:val="00EE3567"/>
    <w:rsid w:val="00EE3D35"/>
    <w:rsid w:val="00EE6024"/>
    <w:rsid w:val="00EF1D4C"/>
    <w:rsid w:val="00EF3550"/>
    <w:rsid w:val="00EF3B14"/>
    <w:rsid w:val="00EF3CB8"/>
    <w:rsid w:val="00EF3D05"/>
    <w:rsid w:val="00EF4C58"/>
    <w:rsid w:val="00EF5BD7"/>
    <w:rsid w:val="00EF7A43"/>
    <w:rsid w:val="00F05378"/>
    <w:rsid w:val="00F067D1"/>
    <w:rsid w:val="00F0685C"/>
    <w:rsid w:val="00F075EE"/>
    <w:rsid w:val="00F0775C"/>
    <w:rsid w:val="00F07DA5"/>
    <w:rsid w:val="00F100F4"/>
    <w:rsid w:val="00F10BB9"/>
    <w:rsid w:val="00F124CE"/>
    <w:rsid w:val="00F1255A"/>
    <w:rsid w:val="00F12944"/>
    <w:rsid w:val="00F12EDE"/>
    <w:rsid w:val="00F1437A"/>
    <w:rsid w:val="00F14DEE"/>
    <w:rsid w:val="00F14EBA"/>
    <w:rsid w:val="00F16A3B"/>
    <w:rsid w:val="00F17693"/>
    <w:rsid w:val="00F200CE"/>
    <w:rsid w:val="00F221FD"/>
    <w:rsid w:val="00F2224A"/>
    <w:rsid w:val="00F233C5"/>
    <w:rsid w:val="00F233D2"/>
    <w:rsid w:val="00F23E7B"/>
    <w:rsid w:val="00F23FD5"/>
    <w:rsid w:val="00F24C4D"/>
    <w:rsid w:val="00F24CEF"/>
    <w:rsid w:val="00F25DB7"/>
    <w:rsid w:val="00F26FF4"/>
    <w:rsid w:val="00F27753"/>
    <w:rsid w:val="00F300E2"/>
    <w:rsid w:val="00F326FB"/>
    <w:rsid w:val="00F338D0"/>
    <w:rsid w:val="00F33C1B"/>
    <w:rsid w:val="00F36065"/>
    <w:rsid w:val="00F36FE8"/>
    <w:rsid w:val="00F37396"/>
    <w:rsid w:val="00F37550"/>
    <w:rsid w:val="00F378AB"/>
    <w:rsid w:val="00F43A3F"/>
    <w:rsid w:val="00F43A68"/>
    <w:rsid w:val="00F44799"/>
    <w:rsid w:val="00F454AF"/>
    <w:rsid w:val="00F458B7"/>
    <w:rsid w:val="00F46F59"/>
    <w:rsid w:val="00F47CBB"/>
    <w:rsid w:val="00F503F4"/>
    <w:rsid w:val="00F50434"/>
    <w:rsid w:val="00F51284"/>
    <w:rsid w:val="00F513E3"/>
    <w:rsid w:val="00F51BCD"/>
    <w:rsid w:val="00F52278"/>
    <w:rsid w:val="00F52D6C"/>
    <w:rsid w:val="00F556C6"/>
    <w:rsid w:val="00F55F0B"/>
    <w:rsid w:val="00F56215"/>
    <w:rsid w:val="00F563A5"/>
    <w:rsid w:val="00F5642E"/>
    <w:rsid w:val="00F578F6"/>
    <w:rsid w:val="00F60A1F"/>
    <w:rsid w:val="00F61A88"/>
    <w:rsid w:val="00F61CD8"/>
    <w:rsid w:val="00F64857"/>
    <w:rsid w:val="00F654EA"/>
    <w:rsid w:val="00F667AB"/>
    <w:rsid w:val="00F67038"/>
    <w:rsid w:val="00F67D49"/>
    <w:rsid w:val="00F703AD"/>
    <w:rsid w:val="00F713A2"/>
    <w:rsid w:val="00F7236E"/>
    <w:rsid w:val="00F72BCB"/>
    <w:rsid w:val="00F73A4C"/>
    <w:rsid w:val="00F73A71"/>
    <w:rsid w:val="00F74B38"/>
    <w:rsid w:val="00F764E7"/>
    <w:rsid w:val="00F76FFC"/>
    <w:rsid w:val="00F80155"/>
    <w:rsid w:val="00F80A95"/>
    <w:rsid w:val="00F8141D"/>
    <w:rsid w:val="00F81B3F"/>
    <w:rsid w:val="00F81F27"/>
    <w:rsid w:val="00F82FAC"/>
    <w:rsid w:val="00F835F1"/>
    <w:rsid w:val="00F843C9"/>
    <w:rsid w:val="00F856FE"/>
    <w:rsid w:val="00F86F33"/>
    <w:rsid w:val="00F8771F"/>
    <w:rsid w:val="00F9000A"/>
    <w:rsid w:val="00F9006C"/>
    <w:rsid w:val="00F930C5"/>
    <w:rsid w:val="00F932E1"/>
    <w:rsid w:val="00F93F90"/>
    <w:rsid w:val="00F94488"/>
    <w:rsid w:val="00F94F1A"/>
    <w:rsid w:val="00F95055"/>
    <w:rsid w:val="00F95BD6"/>
    <w:rsid w:val="00F95F5A"/>
    <w:rsid w:val="00F96EE7"/>
    <w:rsid w:val="00FA12D7"/>
    <w:rsid w:val="00FA13B7"/>
    <w:rsid w:val="00FA1969"/>
    <w:rsid w:val="00FA1D01"/>
    <w:rsid w:val="00FA2960"/>
    <w:rsid w:val="00FA4031"/>
    <w:rsid w:val="00FA578E"/>
    <w:rsid w:val="00FA6417"/>
    <w:rsid w:val="00FA67AA"/>
    <w:rsid w:val="00FA6B45"/>
    <w:rsid w:val="00FB0A07"/>
    <w:rsid w:val="00FB1573"/>
    <w:rsid w:val="00FB1597"/>
    <w:rsid w:val="00FB334A"/>
    <w:rsid w:val="00FB35CF"/>
    <w:rsid w:val="00FB35D6"/>
    <w:rsid w:val="00FB45D2"/>
    <w:rsid w:val="00FB4819"/>
    <w:rsid w:val="00FB48AF"/>
    <w:rsid w:val="00FB5344"/>
    <w:rsid w:val="00FB59A1"/>
    <w:rsid w:val="00FB62E4"/>
    <w:rsid w:val="00FB65F3"/>
    <w:rsid w:val="00FB6F9C"/>
    <w:rsid w:val="00FC0264"/>
    <w:rsid w:val="00FC095A"/>
    <w:rsid w:val="00FC103C"/>
    <w:rsid w:val="00FC14A4"/>
    <w:rsid w:val="00FC1D37"/>
    <w:rsid w:val="00FC3B8E"/>
    <w:rsid w:val="00FC4D38"/>
    <w:rsid w:val="00FC5B55"/>
    <w:rsid w:val="00FC5EF4"/>
    <w:rsid w:val="00FC6FA7"/>
    <w:rsid w:val="00FC7D67"/>
    <w:rsid w:val="00FD06B9"/>
    <w:rsid w:val="00FD0A29"/>
    <w:rsid w:val="00FD2F3E"/>
    <w:rsid w:val="00FD3703"/>
    <w:rsid w:val="00FD4138"/>
    <w:rsid w:val="00FD50A0"/>
    <w:rsid w:val="00FD5147"/>
    <w:rsid w:val="00FD60C3"/>
    <w:rsid w:val="00FD6174"/>
    <w:rsid w:val="00FD6983"/>
    <w:rsid w:val="00FE0291"/>
    <w:rsid w:val="00FE144A"/>
    <w:rsid w:val="00FE1B48"/>
    <w:rsid w:val="00FE1E7B"/>
    <w:rsid w:val="00FE399B"/>
    <w:rsid w:val="00FE3F9D"/>
    <w:rsid w:val="00FE60DD"/>
    <w:rsid w:val="00FE7537"/>
    <w:rsid w:val="00FF2611"/>
    <w:rsid w:val="00FF2C7E"/>
    <w:rsid w:val="00FF2D50"/>
    <w:rsid w:val="00FF3720"/>
    <w:rsid w:val="00FF3769"/>
    <w:rsid w:val="00FF449E"/>
    <w:rsid w:val="00FF4CAA"/>
    <w:rsid w:val="00FF52CE"/>
    <w:rsid w:val="00FF57E1"/>
    <w:rsid w:val="00FF72B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4929"/>
    <o:shapelayout v:ext="edit">
      <o:idmap v:ext="edit" data="1"/>
    </o:shapelayout>
  </w:shapeDefaults>
  <w:decimalSymbol w:val="."/>
  <w:listSeparator w:val=","/>
  <w14:docId w14:val="151B783F"/>
  <w15:docId w15:val="{33CAA76A-3977-4E66-BAB9-2FB0C4A40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4488"/>
    <w:pPr>
      <w:bidi/>
    </w:pPr>
    <w:rPr>
      <w:sz w:val="24"/>
      <w:szCs w:val="24"/>
    </w:rPr>
  </w:style>
  <w:style w:type="paragraph" w:styleId="1">
    <w:name w:val="heading 1"/>
    <w:basedOn w:val="a"/>
    <w:next w:val="a"/>
    <w:qFormat/>
    <w:rsid w:val="007E41FC"/>
    <w:pPr>
      <w:keepNext/>
      <w:bidi w:val="0"/>
      <w:spacing w:line="300" w:lineRule="exact"/>
      <w:jc w:val="center"/>
      <w:outlineLvl w:val="0"/>
    </w:pPr>
    <w:rPr>
      <w:rFonts w:ascii="Times" w:hAnsi="Times" w:cs="Times"/>
      <w:b/>
      <w:bCs/>
      <w:lang w:eastAsia="zh-CN"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E41FC"/>
    <w:pPr>
      <w:tabs>
        <w:tab w:val="center" w:pos="4153"/>
        <w:tab w:val="right" w:pos="8306"/>
      </w:tabs>
    </w:pPr>
  </w:style>
  <w:style w:type="paragraph" w:styleId="a4">
    <w:name w:val="footer"/>
    <w:basedOn w:val="a"/>
    <w:rsid w:val="007E41FC"/>
    <w:pPr>
      <w:tabs>
        <w:tab w:val="center" w:pos="4153"/>
        <w:tab w:val="right" w:pos="8306"/>
      </w:tabs>
    </w:pPr>
  </w:style>
  <w:style w:type="paragraph" w:customStyle="1" w:styleId="regpar">
    <w:name w:val="regpar"/>
    <w:basedOn w:val="a"/>
    <w:rsid w:val="007E41FC"/>
    <w:pPr>
      <w:bidi w:val="0"/>
      <w:spacing w:line="300" w:lineRule="exact"/>
      <w:ind w:firstLine="240"/>
      <w:jc w:val="both"/>
    </w:pPr>
    <w:rPr>
      <w:rFonts w:ascii="Times" w:hAnsi="Times" w:cs="Times"/>
      <w:lang w:eastAsia="zh-CN" w:bidi="ar-SA"/>
    </w:rPr>
  </w:style>
  <w:style w:type="character" w:styleId="Hyperlink">
    <w:name w:val="Hyperlink"/>
    <w:uiPriority w:val="99"/>
    <w:rsid w:val="007E41FC"/>
    <w:rPr>
      <w:color w:val="0000FF"/>
      <w:u w:val="single"/>
    </w:rPr>
  </w:style>
  <w:style w:type="character" w:styleId="a5">
    <w:name w:val="page number"/>
    <w:basedOn w:val="a0"/>
    <w:rsid w:val="00E32885"/>
  </w:style>
  <w:style w:type="paragraph" w:styleId="a6">
    <w:name w:val="Balloon Text"/>
    <w:basedOn w:val="a"/>
    <w:semiHidden/>
    <w:rsid w:val="00616EC6"/>
    <w:rPr>
      <w:rFonts w:ascii="Tahoma" w:hAnsi="Tahoma" w:cs="Tahoma"/>
      <w:sz w:val="16"/>
      <w:szCs w:val="16"/>
    </w:rPr>
  </w:style>
  <w:style w:type="paragraph" w:styleId="a7">
    <w:name w:val="footnote text"/>
    <w:basedOn w:val="a"/>
    <w:semiHidden/>
    <w:rsid w:val="009D47D8"/>
    <w:rPr>
      <w:sz w:val="20"/>
      <w:szCs w:val="20"/>
    </w:rPr>
  </w:style>
  <w:style w:type="character" w:styleId="a8">
    <w:name w:val="footnote reference"/>
    <w:semiHidden/>
    <w:rsid w:val="009D47D8"/>
    <w:rPr>
      <w:vertAlign w:val="superscript"/>
    </w:rPr>
  </w:style>
  <w:style w:type="paragraph" w:styleId="a9">
    <w:name w:val="Document Map"/>
    <w:basedOn w:val="a"/>
    <w:semiHidden/>
    <w:rsid w:val="00801E32"/>
    <w:pPr>
      <w:shd w:val="clear" w:color="auto" w:fill="000080"/>
    </w:pPr>
    <w:rPr>
      <w:rFonts w:ascii="Tahoma" w:hAnsi="Tahoma" w:cs="Tahoma"/>
    </w:rPr>
  </w:style>
  <w:style w:type="character" w:styleId="FollowedHyperlink">
    <w:name w:val="FollowedHyperlink"/>
    <w:rsid w:val="0057653C"/>
    <w:rPr>
      <w:color w:val="800080"/>
      <w:u w:val="single"/>
    </w:rPr>
  </w:style>
  <w:style w:type="table" w:styleId="aa">
    <w:name w:val="Table Grid"/>
    <w:basedOn w:val="a1"/>
    <w:rsid w:val="00707FB9"/>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4614B4"/>
    <w:pPr>
      <w:ind w:left="720"/>
    </w:pPr>
  </w:style>
  <w:style w:type="paragraph" w:styleId="ac">
    <w:name w:val="Title"/>
    <w:basedOn w:val="a"/>
    <w:next w:val="a"/>
    <w:link w:val="ad"/>
    <w:qFormat/>
    <w:rsid w:val="006448E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d">
    <w:name w:val="כותרת טקסט תו"/>
    <w:basedOn w:val="a0"/>
    <w:link w:val="ac"/>
    <w:rsid w:val="006448E2"/>
    <w:rPr>
      <w:rFonts w:asciiTheme="majorHAnsi" w:eastAsiaTheme="majorEastAsia" w:hAnsiTheme="majorHAnsi" w:cstheme="majorBidi"/>
      <w:color w:val="17365D" w:themeColor="text2" w:themeShade="BF"/>
      <w:spacing w:val="5"/>
      <w:kern w:val="28"/>
      <w:sz w:val="52"/>
      <w:szCs w:val="52"/>
    </w:rPr>
  </w:style>
  <w:style w:type="character" w:styleId="ae">
    <w:name w:val="Strong"/>
    <w:basedOn w:val="a0"/>
    <w:qFormat/>
    <w:rsid w:val="006448E2"/>
    <w:rPr>
      <w:b/>
      <w:bCs/>
    </w:rPr>
  </w:style>
  <w:style w:type="character" w:styleId="af">
    <w:name w:val="annotation reference"/>
    <w:basedOn w:val="a0"/>
    <w:rsid w:val="00A861CB"/>
    <w:rPr>
      <w:sz w:val="16"/>
      <w:szCs w:val="16"/>
    </w:rPr>
  </w:style>
  <w:style w:type="paragraph" w:styleId="af0">
    <w:name w:val="annotation text"/>
    <w:basedOn w:val="a"/>
    <w:link w:val="af1"/>
    <w:rsid w:val="00A861CB"/>
    <w:rPr>
      <w:sz w:val="20"/>
      <w:szCs w:val="20"/>
    </w:rPr>
  </w:style>
  <w:style w:type="character" w:customStyle="1" w:styleId="af1">
    <w:name w:val="טקסט הערה תו"/>
    <w:basedOn w:val="a0"/>
    <w:link w:val="af0"/>
    <w:rsid w:val="00A861CB"/>
  </w:style>
  <w:style w:type="paragraph" w:styleId="af2">
    <w:name w:val="annotation subject"/>
    <w:basedOn w:val="af0"/>
    <w:next w:val="af0"/>
    <w:link w:val="af3"/>
    <w:rsid w:val="00A861CB"/>
    <w:rPr>
      <w:b/>
      <w:bCs/>
    </w:rPr>
  </w:style>
  <w:style w:type="character" w:customStyle="1" w:styleId="af3">
    <w:name w:val="נושא הערה תו"/>
    <w:basedOn w:val="af1"/>
    <w:link w:val="af2"/>
    <w:rsid w:val="00A861CB"/>
    <w:rPr>
      <w:b/>
      <w:bCs/>
    </w:rPr>
  </w:style>
  <w:style w:type="paragraph" w:customStyle="1" w:styleId="LetterheadBOI">
    <w:name w:val="Letterhead BOI"/>
    <w:basedOn w:val="regpar"/>
    <w:link w:val="LetterheadBOIChar"/>
    <w:qFormat/>
    <w:rsid w:val="00D772B2"/>
    <w:pPr>
      <w:spacing w:line="300" w:lineRule="atLeast"/>
      <w:ind w:firstLine="0"/>
      <w:jc w:val="center"/>
    </w:pPr>
    <w:rPr>
      <w:rFonts w:ascii="Times New Roman" w:hAnsi="Times New Roman" w:cs="David"/>
      <w:b/>
      <w:lang w:eastAsia="en-US" w:bidi="he-IL"/>
    </w:rPr>
  </w:style>
  <w:style w:type="paragraph" w:customStyle="1" w:styleId="Letterhead2">
    <w:name w:val="Letterhead 2"/>
    <w:basedOn w:val="regpar"/>
    <w:link w:val="Letterhead2Char"/>
    <w:qFormat/>
    <w:rsid w:val="00D772B2"/>
    <w:pPr>
      <w:spacing w:line="300" w:lineRule="atLeast"/>
      <w:ind w:firstLine="0"/>
      <w:jc w:val="center"/>
    </w:pPr>
    <w:rPr>
      <w:rFonts w:ascii="Times New Roman" w:hAnsi="Times New Roman" w:cs="Times New Roman"/>
      <w:sz w:val="26"/>
      <w:szCs w:val="26"/>
      <w:lang w:eastAsia="en-US" w:bidi="he-IL"/>
    </w:rPr>
  </w:style>
  <w:style w:type="character" w:customStyle="1" w:styleId="LetterheadBOIChar">
    <w:name w:val="Letterhead BOI Char"/>
    <w:basedOn w:val="a0"/>
    <w:link w:val="LetterheadBOI"/>
    <w:rsid w:val="00D772B2"/>
    <w:rPr>
      <w:rFonts w:cs="David"/>
      <w:b/>
      <w:sz w:val="24"/>
      <w:szCs w:val="24"/>
    </w:rPr>
  </w:style>
  <w:style w:type="paragraph" w:customStyle="1" w:styleId="PressReleaseTitle">
    <w:name w:val="Press Release Title"/>
    <w:basedOn w:val="a"/>
    <w:link w:val="PressReleaseTitleChar"/>
    <w:qFormat/>
    <w:rsid w:val="00D772B2"/>
    <w:pPr>
      <w:tabs>
        <w:tab w:val="center" w:pos="4156"/>
        <w:tab w:val="right" w:pos="8312"/>
      </w:tabs>
      <w:bidi w:val="0"/>
      <w:jc w:val="center"/>
    </w:pPr>
    <w:rPr>
      <w:rFonts w:cs="David"/>
      <w:b/>
      <w:bCs/>
      <w:sz w:val="26"/>
      <w:szCs w:val="26"/>
    </w:rPr>
  </w:style>
  <w:style w:type="character" w:customStyle="1" w:styleId="Letterhead2Char">
    <w:name w:val="Letterhead 2 Char"/>
    <w:basedOn w:val="a0"/>
    <w:link w:val="Letterhead2"/>
    <w:rsid w:val="00D772B2"/>
    <w:rPr>
      <w:sz w:val="26"/>
      <w:szCs w:val="26"/>
    </w:rPr>
  </w:style>
  <w:style w:type="character" w:customStyle="1" w:styleId="PressReleaseTitleChar">
    <w:name w:val="Press Release Title Char"/>
    <w:basedOn w:val="a0"/>
    <w:link w:val="PressReleaseTitle"/>
    <w:rsid w:val="00D772B2"/>
    <w:rPr>
      <w:rFonts w:cs="David"/>
      <w:b/>
      <w:bCs/>
      <w:sz w:val="26"/>
      <w:szCs w:val="26"/>
    </w:rPr>
  </w:style>
  <w:style w:type="paragraph" w:styleId="af4">
    <w:name w:val="endnote text"/>
    <w:basedOn w:val="a"/>
    <w:link w:val="af5"/>
    <w:semiHidden/>
    <w:unhideWhenUsed/>
    <w:rsid w:val="00396A86"/>
    <w:rPr>
      <w:sz w:val="20"/>
      <w:szCs w:val="20"/>
    </w:rPr>
  </w:style>
  <w:style w:type="character" w:customStyle="1" w:styleId="af5">
    <w:name w:val="טקסט הערת סיום תו"/>
    <w:basedOn w:val="a0"/>
    <w:link w:val="af4"/>
    <w:semiHidden/>
    <w:rsid w:val="00396A86"/>
  </w:style>
  <w:style w:type="character" w:styleId="af6">
    <w:name w:val="endnote reference"/>
    <w:basedOn w:val="a0"/>
    <w:semiHidden/>
    <w:unhideWhenUsed/>
    <w:rsid w:val="00396A8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590263">
      <w:bodyDiv w:val="1"/>
      <w:marLeft w:val="0"/>
      <w:marRight w:val="0"/>
      <w:marTop w:val="0"/>
      <w:marBottom w:val="0"/>
      <w:divBdr>
        <w:top w:val="none" w:sz="0" w:space="0" w:color="auto"/>
        <w:left w:val="none" w:sz="0" w:space="0" w:color="auto"/>
        <w:bottom w:val="none" w:sz="0" w:space="0" w:color="auto"/>
        <w:right w:val="none" w:sz="0" w:space="0" w:color="auto"/>
      </w:divBdr>
    </w:div>
    <w:div w:id="433945093">
      <w:bodyDiv w:val="1"/>
      <w:marLeft w:val="0"/>
      <w:marRight w:val="0"/>
      <w:marTop w:val="0"/>
      <w:marBottom w:val="0"/>
      <w:divBdr>
        <w:top w:val="none" w:sz="0" w:space="0" w:color="auto"/>
        <w:left w:val="none" w:sz="0" w:space="0" w:color="auto"/>
        <w:bottom w:val="none" w:sz="0" w:space="0" w:color="auto"/>
        <w:right w:val="none" w:sz="0" w:space="0" w:color="auto"/>
      </w:divBdr>
    </w:div>
    <w:div w:id="475531469">
      <w:bodyDiv w:val="1"/>
      <w:marLeft w:val="0"/>
      <w:marRight w:val="0"/>
      <w:marTop w:val="0"/>
      <w:marBottom w:val="0"/>
      <w:divBdr>
        <w:top w:val="none" w:sz="0" w:space="0" w:color="auto"/>
        <w:left w:val="none" w:sz="0" w:space="0" w:color="auto"/>
        <w:bottom w:val="none" w:sz="0" w:space="0" w:color="auto"/>
        <w:right w:val="none" w:sz="0" w:space="0" w:color="auto"/>
      </w:divBdr>
    </w:div>
    <w:div w:id="564951744">
      <w:bodyDiv w:val="1"/>
      <w:marLeft w:val="0"/>
      <w:marRight w:val="0"/>
      <w:marTop w:val="0"/>
      <w:marBottom w:val="0"/>
      <w:divBdr>
        <w:top w:val="none" w:sz="0" w:space="0" w:color="auto"/>
        <w:left w:val="none" w:sz="0" w:space="0" w:color="auto"/>
        <w:bottom w:val="none" w:sz="0" w:space="0" w:color="auto"/>
        <w:right w:val="none" w:sz="0" w:space="0" w:color="auto"/>
      </w:divBdr>
    </w:div>
    <w:div w:id="1609001350">
      <w:bodyDiv w:val="1"/>
      <w:marLeft w:val="0"/>
      <w:marRight w:val="0"/>
      <w:marTop w:val="0"/>
      <w:marBottom w:val="0"/>
      <w:divBdr>
        <w:top w:val="none" w:sz="0" w:space="0" w:color="auto"/>
        <w:left w:val="none" w:sz="0" w:space="0" w:color="auto"/>
        <w:bottom w:val="none" w:sz="0" w:space="0" w:color="auto"/>
        <w:right w:val="none" w:sz="0" w:space="0" w:color="auto"/>
      </w:divBdr>
    </w:div>
    <w:div w:id="1772160560">
      <w:bodyDiv w:val="1"/>
      <w:marLeft w:val="0"/>
      <w:marRight w:val="0"/>
      <w:marTop w:val="0"/>
      <w:marBottom w:val="0"/>
      <w:divBdr>
        <w:top w:val="none" w:sz="0" w:space="0" w:color="auto"/>
        <w:left w:val="none" w:sz="0" w:space="0" w:color="auto"/>
        <w:bottom w:val="none" w:sz="0" w:space="0" w:color="auto"/>
        <w:right w:val="none" w:sz="0" w:space="0" w:color="auto"/>
      </w:divBdr>
    </w:div>
    <w:div w:id="1945726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16F239-AEED-4D0C-AE7A-7C95F0DDA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1306</Words>
  <Characters>6888</Characters>
  <Application>Microsoft Office Word</Application>
  <DocSecurity>4</DocSecurity>
  <Lines>57</Lines>
  <Paragraphs>16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Interest Rate Decision – February 20, 2006</vt:lpstr>
      <vt:lpstr>Interest Rate Decision – February 20, 2006</vt:lpstr>
    </vt:vector>
  </TitlesOfParts>
  <Company>BOI</Company>
  <LinksUpToDate>false</LinksUpToDate>
  <CharactersWithSpaces>8178</CharactersWithSpaces>
  <SharedDoc>false</SharedDoc>
  <HLinks>
    <vt:vector size="6" baseType="variant">
      <vt:variant>
        <vt:i4>3080238</vt:i4>
      </vt:variant>
      <vt:variant>
        <vt:i4>0</vt:i4>
      </vt:variant>
      <vt:variant>
        <vt:i4>0</vt:i4>
      </vt:variant>
      <vt:variant>
        <vt:i4>5</vt:i4>
      </vt:variant>
      <vt:variant>
        <vt:lpwstr>http://www.boi.org.il/en/DataAndStatistics/Pages/MainPage.aspx?Level=2&amp;Sid=15&amp;SubjectType=1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Interest Rate Decision – February 20, 2006</dc:title>
  <dc:creator>SFisher</dc:creator>
  <cp:lastModifiedBy>לירון דהן</cp:lastModifiedBy>
  <cp:revision>2</cp:revision>
  <cp:lastPrinted>2015-12-09T14:43:00Z</cp:lastPrinted>
  <dcterms:created xsi:type="dcterms:W3CDTF">2024-09-25T06:26:00Z</dcterms:created>
  <dcterms:modified xsi:type="dcterms:W3CDTF">2024-09-25T06:26:00Z</dcterms:modified>
</cp:coreProperties>
</file>