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E716D0" w:rsidRPr="00E716D0" w14:paraId="170F4D9A" w14:textId="77777777" w:rsidTr="00AB3CB4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3AE34" w14:textId="77777777" w:rsidR="00E716D0" w:rsidRPr="00E716D0" w:rsidRDefault="00E716D0" w:rsidP="00AB3CB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16D0">
              <w:rPr>
                <w:rFonts w:cs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14:paraId="7BAEB4D0" w14:textId="77777777" w:rsidR="00E716D0" w:rsidRPr="00E716D0" w:rsidRDefault="00E716D0" w:rsidP="00AB3CB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716D0">
              <w:rPr>
                <w:rFonts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B8B0B" w14:textId="77777777" w:rsidR="00E716D0" w:rsidRPr="00E716D0" w:rsidRDefault="00E716D0" w:rsidP="00AB3C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16D0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72393039" wp14:editId="16FC009B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4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20C05" w14:textId="2E9C9E76" w:rsidR="00E716D0" w:rsidRPr="00E716D0" w:rsidRDefault="00E716D0" w:rsidP="00AB3CB4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E716D0">
              <w:rPr>
                <w:rFonts w:cstheme="minorHAnsi"/>
                <w:sz w:val="24"/>
                <w:szCs w:val="24"/>
                <w:highlight w:val="green"/>
                <w:rtl/>
              </w:rPr>
              <w:t>‏</w:t>
            </w:r>
            <w:r w:rsidRPr="00E716D0">
              <w:rPr>
                <w:rFonts w:cstheme="minorHAnsi"/>
                <w:sz w:val="24"/>
                <w:szCs w:val="24"/>
                <w:rtl/>
              </w:rPr>
              <w:t xml:space="preserve">ירושלים, </w:t>
            </w:r>
            <w:r w:rsidRPr="00E716D0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E716D0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E716D0">
              <w:rPr>
                <w:rFonts w:cstheme="minorHAnsi"/>
                <w:sz w:val="24"/>
                <w:szCs w:val="24"/>
              </w:rPr>
              <w:instrText>DATE</w:instrText>
            </w:r>
            <w:r w:rsidRPr="00E716D0">
              <w:rPr>
                <w:rFonts w:cstheme="minorHAnsi"/>
                <w:sz w:val="24"/>
                <w:szCs w:val="24"/>
                <w:rtl/>
              </w:rPr>
              <w:instrText xml:space="preserve"> \@ "</w:instrText>
            </w:r>
            <w:r w:rsidRPr="00E716D0">
              <w:rPr>
                <w:rFonts w:cstheme="minorHAnsi"/>
                <w:sz w:val="24"/>
                <w:szCs w:val="24"/>
              </w:rPr>
              <w:instrText>d MMMM, yyyy" \h</w:instrText>
            </w:r>
            <w:r w:rsidRPr="00E716D0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E716D0"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 w:rsidR="007E7483">
              <w:rPr>
                <w:rFonts w:cstheme="minorHAnsi"/>
                <w:noProof/>
                <w:sz w:val="24"/>
                <w:szCs w:val="24"/>
                <w:rtl/>
              </w:rPr>
              <w:t>‏י"א ניסן, תשפ"ה</w:t>
            </w:r>
            <w:r w:rsidRPr="00E716D0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  <w:p w14:paraId="62C412BA" w14:textId="35377941" w:rsidR="00E716D0" w:rsidRPr="00E716D0" w:rsidRDefault="00E716D0" w:rsidP="00AB3CB4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highlight w:val="green"/>
              </w:rPr>
            </w:pPr>
            <w:r w:rsidRPr="00E716D0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E716D0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E716D0">
              <w:rPr>
                <w:rFonts w:cstheme="minorHAnsi"/>
                <w:sz w:val="24"/>
                <w:szCs w:val="24"/>
              </w:rPr>
              <w:instrText>DATE</w:instrText>
            </w:r>
            <w:r w:rsidRPr="00E716D0">
              <w:rPr>
                <w:rFonts w:cstheme="minorHAnsi"/>
                <w:sz w:val="24"/>
                <w:szCs w:val="24"/>
                <w:rtl/>
              </w:rPr>
              <w:instrText xml:space="preserve"> \@ "</w:instrText>
            </w:r>
            <w:r w:rsidRPr="00E716D0">
              <w:rPr>
                <w:rFonts w:cstheme="minorHAnsi"/>
                <w:sz w:val="24"/>
                <w:szCs w:val="24"/>
              </w:rPr>
              <w:instrText>d MMMM, yyyy</w:instrText>
            </w:r>
            <w:r w:rsidRPr="00E716D0">
              <w:rPr>
                <w:rFonts w:cstheme="minorHAnsi"/>
                <w:sz w:val="24"/>
                <w:szCs w:val="24"/>
                <w:rtl/>
              </w:rPr>
              <w:instrText xml:space="preserve">" </w:instrText>
            </w:r>
            <w:r w:rsidRPr="00E716D0"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 w:rsidR="007E7483">
              <w:rPr>
                <w:rFonts w:cstheme="minorHAnsi"/>
                <w:noProof/>
                <w:sz w:val="24"/>
                <w:szCs w:val="24"/>
                <w:rtl/>
              </w:rPr>
              <w:t>‏9 אפריל, 2025</w:t>
            </w:r>
            <w:r w:rsidRPr="00E716D0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</w:tr>
    </w:tbl>
    <w:p w14:paraId="4120D33A" w14:textId="77777777" w:rsidR="00E716D0" w:rsidRPr="00E716D0" w:rsidRDefault="00E716D0" w:rsidP="00E716D0">
      <w:pPr>
        <w:rPr>
          <w:rFonts w:cstheme="minorHAnsi"/>
          <w:sz w:val="24"/>
          <w:szCs w:val="24"/>
          <w:rtl/>
        </w:rPr>
      </w:pPr>
    </w:p>
    <w:p w14:paraId="23544073" w14:textId="77777777" w:rsidR="00E716D0" w:rsidRPr="00E716D0" w:rsidRDefault="00E716D0" w:rsidP="00E716D0">
      <w:pPr>
        <w:spacing w:line="360" w:lineRule="auto"/>
        <w:rPr>
          <w:rFonts w:cstheme="minorHAnsi"/>
          <w:sz w:val="24"/>
          <w:szCs w:val="24"/>
          <w:rtl/>
        </w:rPr>
      </w:pPr>
      <w:r w:rsidRPr="00E716D0">
        <w:rPr>
          <w:rFonts w:cstheme="minorHAnsi"/>
          <w:sz w:val="24"/>
          <w:szCs w:val="24"/>
          <w:rtl/>
        </w:rPr>
        <w:t>הודעה לעיתונות</w:t>
      </w:r>
      <w:r w:rsidRPr="00E716D0">
        <w:rPr>
          <w:rFonts w:cstheme="minorHAnsi"/>
          <w:sz w:val="24"/>
          <w:szCs w:val="24"/>
        </w:rPr>
        <w:t>:</w:t>
      </w:r>
    </w:p>
    <w:p w14:paraId="4ABF2C08" w14:textId="67ABE260" w:rsidR="00263D89" w:rsidRPr="00E716D0" w:rsidRDefault="00263D89" w:rsidP="00E716D0">
      <w:pPr>
        <w:pStyle w:val="NormalWeb"/>
        <w:bidi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rtl/>
        </w:rPr>
      </w:pPr>
      <w:r w:rsidRPr="00E716D0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t>ממצאים עיקריים מסקר קציני אשראי של בנק ישראל לרביע הראשון 2025</w:t>
      </w:r>
    </w:p>
    <w:p w14:paraId="27A0623E" w14:textId="53F168F7" w:rsidR="00343A83" w:rsidRPr="00E716D0" w:rsidRDefault="005D18D0" w:rsidP="00BD438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4"/>
          <w:szCs w:val="24"/>
          <w:rtl/>
        </w:rPr>
      </w:pPr>
      <w:r w:rsidRPr="00E716D0">
        <w:rPr>
          <w:rFonts w:eastAsia="Calibri" w:cstheme="minorHAnsi"/>
          <w:sz w:val="24"/>
          <w:szCs w:val="24"/>
          <w:rtl/>
        </w:rPr>
        <w:t>בנק ישראל</w:t>
      </w:r>
      <w:r w:rsidRPr="00E716D0">
        <w:rPr>
          <w:rFonts w:eastAsia="Calibri" w:cstheme="minorHAnsi"/>
          <w:sz w:val="24"/>
          <w:szCs w:val="24"/>
        </w:rPr>
        <w:t xml:space="preserve"> </w:t>
      </w:r>
      <w:r w:rsidR="009448A2" w:rsidRPr="00E716D0">
        <w:rPr>
          <w:rFonts w:eastAsia="Calibri" w:cstheme="minorHAnsi"/>
          <w:sz w:val="24"/>
          <w:szCs w:val="24"/>
          <w:rtl/>
        </w:rPr>
        <w:t xml:space="preserve">החל </w:t>
      </w:r>
      <w:r w:rsidR="00965F81" w:rsidRPr="00E716D0">
        <w:rPr>
          <w:rFonts w:eastAsia="Calibri" w:cstheme="minorHAnsi"/>
          <w:sz w:val="24"/>
          <w:szCs w:val="24"/>
          <w:rtl/>
        </w:rPr>
        <w:t xml:space="preserve">ברבעון </w:t>
      </w:r>
      <w:r w:rsidR="009448A2" w:rsidRPr="00E716D0">
        <w:rPr>
          <w:rFonts w:eastAsia="Calibri" w:cstheme="minorHAnsi"/>
          <w:sz w:val="24"/>
          <w:szCs w:val="24"/>
          <w:rtl/>
        </w:rPr>
        <w:t>הש</w:t>
      </w:r>
      <w:r w:rsidR="00CF1FAB" w:rsidRPr="00E716D0">
        <w:rPr>
          <w:rFonts w:eastAsia="Calibri" w:cstheme="minorHAnsi"/>
          <w:sz w:val="24"/>
          <w:szCs w:val="24"/>
          <w:rtl/>
        </w:rPr>
        <w:t>לישי</w:t>
      </w:r>
      <w:r w:rsidR="009448A2" w:rsidRPr="00E716D0">
        <w:rPr>
          <w:rFonts w:eastAsia="Calibri" w:cstheme="minorHAnsi"/>
          <w:sz w:val="24"/>
          <w:szCs w:val="24"/>
          <w:rtl/>
        </w:rPr>
        <w:t xml:space="preserve"> של שנת 2024 לערוך </w:t>
      </w:r>
      <w:r w:rsidR="00F41D34" w:rsidRPr="00E716D0">
        <w:rPr>
          <w:rFonts w:eastAsia="Calibri" w:cstheme="minorHAnsi"/>
          <w:sz w:val="24"/>
          <w:szCs w:val="24"/>
          <w:rtl/>
        </w:rPr>
        <w:t xml:space="preserve">סקר קציני אשראי </w:t>
      </w:r>
      <w:r w:rsidR="00DF00BE" w:rsidRPr="00E716D0">
        <w:rPr>
          <w:rFonts w:eastAsia="Calibri" w:cstheme="minorHAnsi"/>
          <w:sz w:val="24"/>
          <w:szCs w:val="24"/>
          <w:rtl/>
        </w:rPr>
        <w:t xml:space="preserve">רבעוני </w:t>
      </w:r>
      <w:r w:rsidR="009448A2" w:rsidRPr="00E716D0">
        <w:rPr>
          <w:rFonts w:eastAsia="Calibri" w:cstheme="minorHAnsi"/>
          <w:sz w:val="24"/>
          <w:szCs w:val="24"/>
          <w:rtl/>
        </w:rPr>
        <w:t xml:space="preserve">בקרב המערכת הבנקאית </w:t>
      </w:r>
      <w:r w:rsidR="00F41D34" w:rsidRPr="00E716D0">
        <w:rPr>
          <w:rFonts w:eastAsia="Calibri" w:cstheme="minorHAnsi"/>
          <w:sz w:val="24"/>
          <w:szCs w:val="24"/>
          <w:rtl/>
        </w:rPr>
        <w:t>בישראל.</w:t>
      </w:r>
      <w:r w:rsidRPr="00E716D0">
        <w:rPr>
          <w:rFonts w:eastAsia="Calibri" w:cstheme="minorHAnsi"/>
          <w:sz w:val="24"/>
          <w:szCs w:val="24"/>
        </w:rPr>
        <w:t xml:space="preserve"> </w:t>
      </w:r>
      <w:r w:rsidR="00343A83" w:rsidRPr="00E716D0">
        <w:rPr>
          <w:rFonts w:eastAsia="Calibri" w:cstheme="minorHAnsi"/>
          <w:sz w:val="24"/>
          <w:szCs w:val="24"/>
          <w:rtl/>
        </w:rPr>
        <w:t xml:space="preserve">מטרת הסקר היא </w:t>
      </w:r>
      <w:r w:rsidR="009448A2" w:rsidRPr="00E716D0">
        <w:rPr>
          <w:rFonts w:eastAsia="Calibri" w:cstheme="minorHAnsi"/>
          <w:sz w:val="24"/>
          <w:szCs w:val="24"/>
          <w:rtl/>
        </w:rPr>
        <w:t>לקבל</w:t>
      </w:r>
      <w:r w:rsidR="009448A2" w:rsidRPr="00E716D0">
        <w:rPr>
          <w:rFonts w:eastAsia="Calibri" w:cstheme="minorHAnsi"/>
          <w:sz w:val="24"/>
          <w:szCs w:val="24"/>
        </w:rPr>
        <w:t xml:space="preserve"> </w:t>
      </w:r>
      <w:r w:rsidR="00343A83" w:rsidRPr="00E716D0">
        <w:rPr>
          <w:rFonts w:eastAsia="Calibri" w:cstheme="minorHAnsi"/>
          <w:sz w:val="24"/>
          <w:szCs w:val="24"/>
          <w:rtl/>
        </w:rPr>
        <w:t>מידע</w:t>
      </w:r>
      <w:r w:rsidR="00343A83" w:rsidRPr="00E716D0">
        <w:rPr>
          <w:rFonts w:eastAsia="Calibri" w:cstheme="minorHAnsi"/>
          <w:sz w:val="24"/>
          <w:szCs w:val="24"/>
        </w:rPr>
        <w:t xml:space="preserve"> </w:t>
      </w:r>
      <w:r w:rsidR="00343A83" w:rsidRPr="00E716D0">
        <w:rPr>
          <w:rFonts w:eastAsia="Calibri" w:cstheme="minorHAnsi"/>
          <w:sz w:val="24"/>
          <w:szCs w:val="24"/>
          <w:rtl/>
        </w:rPr>
        <w:t>איכותני</w:t>
      </w:r>
      <w:r w:rsidR="00343A83" w:rsidRPr="00E716D0">
        <w:rPr>
          <w:rFonts w:eastAsia="Calibri" w:cstheme="minorHAnsi"/>
          <w:sz w:val="24"/>
          <w:szCs w:val="24"/>
        </w:rPr>
        <w:t xml:space="preserve"> </w:t>
      </w:r>
      <w:r w:rsidR="00343A83" w:rsidRPr="00E716D0">
        <w:rPr>
          <w:rFonts w:eastAsia="Calibri" w:cstheme="minorHAnsi"/>
          <w:sz w:val="24"/>
          <w:szCs w:val="24"/>
          <w:rtl/>
        </w:rPr>
        <w:t>ישיר</w:t>
      </w:r>
      <w:r w:rsidR="00343A83" w:rsidRPr="00E716D0">
        <w:rPr>
          <w:rFonts w:eastAsia="Calibri" w:cstheme="minorHAnsi"/>
          <w:sz w:val="24"/>
          <w:szCs w:val="24"/>
        </w:rPr>
        <w:t xml:space="preserve"> </w:t>
      </w:r>
      <w:r w:rsidR="00343A83" w:rsidRPr="00E716D0">
        <w:rPr>
          <w:rFonts w:eastAsia="Calibri" w:cstheme="minorHAnsi"/>
          <w:sz w:val="24"/>
          <w:szCs w:val="24"/>
          <w:rtl/>
        </w:rPr>
        <w:t>ושוטף</w:t>
      </w:r>
      <w:r w:rsidR="00343A83" w:rsidRPr="00E716D0">
        <w:rPr>
          <w:rFonts w:eastAsia="Calibri" w:cstheme="minorHAnsi"/>
          <w:sz w:val="24"/>
          <w:szCs w:val="24"/>
        </w:rPr>
        <w:t xml:space="preserve"> </w:t>
      </w:r>
      <w:r w:rsidR="00343A83" w:rsidRPr="00E716D0">
        <w:rPr>
          <w:rFonts w:eastAsia="Calibri" w:cstheme="minorHAnsi"/>
          <w:sz w:val="24"/>
          <w:szCs w:val="24"/>
          <w:rtl/>
        </w:rPr>
        <w:t>מה</w:t>
      </w:r>
      <w:r w:rsidR="00C51F68" w:rsidRPr="00E716D0">
        <w:rPr>
          <w:rFonts w:eastAsia="Calibri" w:cstheme="minorHAnsi"/>
          <w:sz w:val="24"/>
          <w:szCs w:val="24"/>
          <w:rtl/>
        </w:rPr>
        <w:t xml:space="preserve">תאגידים </w:t>
      </w:r>
      <w:r w:rsidR="00343A83" w:rsidRPr="00E716D0">
        <w:rPr>
          <w:rFonts w:eastAsia="Calibri" w:cstheme="minorHAnsi"/>
          <w:sz w:val="24"/>
          <w:szCs w:val="24"/>
          <w:rtl/>
        </w:rPr>
        <w:t>הבנקאי</w:t>
      </w:r>
      <w:r w:rsidR="00C51F68" w:rsidRPr="00E716D0">
        <w:rPr>
          <w:rFonts w:eastAsia="Calibri" w:cstheme="minorHAnsi"/>
          <w:sz w:val="24"/>
          <w:szCs w:val="24"/>
          <w:rtl/>
        </w:rPr>
        <w:t>ים</w:t>
      </w:r>
      <w:r w:rsidR="00343A83" w:rsidRPr="00E716D0">
        <w:rPr>
          <w:rFonts w:eastAsia="Calibri" w:cstheme="minorHAnsi"/>
          <w:sz w:val="24"/>
          <w:szCs w:val="24"/>
        </w:rPr>
        <w:t xml:space="preserve"> </w:t>
      </w:r>
      <w:r w:rsidR="009448A2" w:rsidRPr="00E716D0">
        <w:rPr>
          <w:rFonts w:eastAsia="Calibri" w:cstheme="minorHAnsi"/>
          <w:sz w:val="24"/>
          <w:szCs w:val="24"/>
          <w:rtl/>
        </w:rPr>
        <w:t>על</w:t>
      </w:r>
      <w:r w:rsidR="009448A2" w:rsidRPr="00E716D0">
        <w:rPr>
          <w:rFonts w:eastAsia="Calibri" w:cstheme="minorHAnsi"/>
          <w:sz w:val="24"/>
          <w:szCs w:val="24"/>
        </w:rPr>
        <w:t xml:space="preserve"> </w:t>
      </w:r>
      <w:r w:rsidR="00343A83" w:rsidRPr="00E716D0">
        <w:rPr>
          <w:rFonts w:eastAsia="Calibri" w:cstheme="minorHAnsi"/>
          <w:sz w:val="24"/>
          <w:szCs w:val="24"/>
          <w:rtl/>
        </w:rPr>
        <w:t>ההתפתחויות</w:t>
      </w:r>
      <w:r w:rsidR="00343A83" w:rsidRPr="00E716D0">
        <w:rPr>
          <w:rFonts w:eastAsia="Calibri" w:cstheme="minorHAnsi"/>
          <w:sz w:val="24"/>
          <w:szCs w:val="24"/>
        </w:rPr>
        <w:t xml:space="preserve"> </w:t>
      </w:r>
      <w:r w:rsidR="00343A83" w:rsidRPr="00E716D0">
        <w:rPr>
          <w:rFonts w:eastAsia="Calibri" w:cstheme="minorHAnsi"/>
          <w:sz w:val="24"/>
          <w:szCs w:val="24"/>
          <w:rtl/>
        </w:rPr>
        <w:t>בשוק האשראי</w:t>
      </w:r>
      <w:r w:rsidR="00343A83" w:rsidRPr="00E716D0">
        <w:rPr>
          <w:rFonts w:eastAsia="Calibri" w:cstheme="minorHAnsi"/>
          <w:sz w:val="24"/>
          <w:szCs w:val="24"/>
        </w:rPr>
        <w:t xml:space="preserve"> </w:t>
      </w:r>
      <w:r w:rsidR="00343A83" w:rsidRPr="00E716D0">
        <w:rPr>
          <w:rFonts w:eastAsia="Calibri" w:cstheme="minorHAnsi"/>
          <w:sz w:val="24"/>
          <w:szCs w:val="24"/>
          <w:rtl/>
        </w:rPr>
        <w:t>בישראל,</w:t>
      </w:r>
      <w:r w:rsidR="00343A83" w:rsidRPr="00E716D0">
        <w:rPr>
          <w:rFonts w:eastAsia="Calibri" w:cstheme="minorHAnsi"/>
          <w:sz w:val="24"/>
          <w:szCs w:val="24"/>
        </w:rPr>
        <w:t xml:space="preserve"> </w:t>
      </w:r>
      <w:r w:rsidR="00EF1F37" w:rsidRPr="00E716D0">
        <w:rPr>
          <w:rFonts w:eastAsia="Calibri" w:cstheme="minorHAnsi"/>
          <w:sz w:val="24"/>
          <w:szCs w:val="24"/>
          <w:rtl/>
        </w:rPr>
        <w:t>ולתרום בכך</w:t>
      </w:r>
      <w:r w:rsidR="009448A2" w:rsidRPr="00E716D0">
        <w:rPr>
          <w:rFonts w:eastAsia="Calibri" w:cstheme="minorHAnsi"/>
          <w:sz w:val="24"/>
          <w:szCs w:val="24"/>
          <w:rtl/>
        </w:rPr>
        <w:t xml:space="preserve"> </w:t>
      </w:r>
      <w:r w:rsidR="00343A83" w:rsidRPr="00E716D0">
        <w:rPr>
          <w:rFonts w:eastAsia="Calibri" w:cstheme="minorHAnsi"/>
          <w:sz w:val="24"/>
          <w:szCs w:val="24"/>
          <w:rtl/>
        </w:rPr>
        <w:t xml:space="preserve">להבנה מעמיקה של </w:t>
      </w:r>
      <w:r w:rsidR="009448A2" w:rsidRPr="00E716D0">
        <w:rPr>
          <w:rFonts w:eastAsia="Calibri" w:cstheme="minorHAnsi"/>
          <w:sz w:val="24"/>
          <w:szCs w:val="24"/>
          <w:rtl/>
        </w:rPr>
        <w:t>ההתפתחויות ב</w:t>
      </w:r>
      <w:r w:rsidR="00343A83" w:rsidRPr="00E716D0">
        <w:rPr>
          <w:rFonts w:eastAsia="Calibri" w:cstheme="minorHAnsi"/>
          <w:sz w:val="24"/>
          <w:szCs w:val="24"/>
          <w:rtl/>
        </w:rPr>
        <w:t xml:space="preserve">שוק האשראי </w:t>
      </w:r>
      <w:r w:rsidR="00EF1F37" w:rsidRPr="00E716D0">
        <w:rPr>
          <w:rFonts w:eastAsia="Calibri" w:cstheme="minorHAnsi"/>
          <w:sz w:val="24"/>
          <w:szCs w:val="24"/>
          <w:rtl/>
        </w:rPr>
        <w:t>עבור</w:t>
      </w:r>
      <w:r w:rsidR="009448A2" w:rsidRPr="00E716D0">
        <w:rPr>
          <w:rFonts w:eastAsia="Calibri" w:cstheme="minorHAnsi"/>
          <w:sz w:val="24"/>
          <w:szCs w:val="24"/>
          <w:rtl/>
        </w:rPr>
        <w:t xml:space="preserve"> תהליכי קבלת ההחלטות בבנק ישראל</w:t>
      </w:r>
      <w:r w:rsidR="009B022C" w:rsidRPr="00E716D0">
        <w:rPr>
          <w:rFonts w:eastAsia="Calibri" w:cstheme="minorHAnsi"/>
          <w:sz w:val="24"/>
          <w:szCs w:val="24"/>
          <w:rtl/>
        </w:rPr>
        <w:t xml:space="preserve"> - </w:t>
      </w:r>
      <w:r w:rsidR="009448A2" w:rsidRPr="00E716D0">
        <w:rPr>
          <w:rFonts w:eastAsia="Calibri" w:cstheme="minorHAnsi"/>
          <w:sz w:val="24"/>
          <w:szCs w:val="24"/>
          <w:rtl/>
        </w:rPr>
        <w:t xml:space="preserve"> </w:t>
      </w:r>
      <w:r w:rsidR="009B022C" w:rsidRPr="00E716D0">
        <w:rPr>
          <w:rFonts w:eastAsia="Calibri" w:cstheme="minorHAnsi"/>
          <w:sz w:val="24"/>
          <w:szCs w:val="24"/>
          <w:rtl/>
        </w:rPr>
        <w:t>דיוני</w:t>
      </w:r>
      <w:r w:rsidR="009448A2" w:rsidRPr="00E716D0">
        <w:rPr>
          <w:rFonts w:eastAsia="Calibri" w:cstheme="minorHAnsi"/>
          <w:sz w:val="24"/>
          <w:szCs w:val="24"/>
          <w:rtl/>
        </w:rPr>
        <w:t xml:space="preserve"> הריבית , </w:t>
      </w:r>
      <w:r w:rsidR="00343A83" w:rsidRPr="00E716D0">
        <w:rPr>
          <w:rFonts w:eastAsia="Calibri" w:cstheme="minorHAnsi"/>
          <w:sz w:val="24"/>
          <w:szCs w:val="24"/>
          <w:rtl/>
        </w:rPr>
        <w:t>הערכת הסיכונים במערכת הפיננסית</w:t>
      </w:r>
      <w:r w:rsidR="009448A2" w:rsidRPr="00E716D0">
        <w:rPr>
          <w:rFonts w:eastAsia="Calibri" w:cstheme="minorHAnsi"/>
          <w:sz w:val="24"/>
          <w:szCs w:val="24"/>
          <w:rtl/>
        </w:rPr>
        <w:t>,</w:t>
      </w:r>
      <w:r w:rsidR="00343A83" w:rsidRPr="00E716D0">
        <w:rPr>
          <w:rFonts w:eastAsia="Calibri" w:cstheme="minorHAnsi"/>
          <w:sz w:val="24"/>
          <w:szCs w:val="24"/>
          <w:rtl/>
        </w:rPr>
        <w:t xml:space="preserve"> ה</w:t>
      </w:r>
      <w:r w:rsidR="009448A2" w:rsidRPr="00E716D0">
        <w:rPr>
          <w:rFonts w:eastAsia="Calibri" w:cstheme="minorHAnsi"/>
          <w:sz w:val="24"/>
          <w:szCs w:val="24"/>
          <w:rtl/>
        </w:rPr>
        <w:t xml:space="preserve">נגישות </w:t>
      </w:r>
      <w:r w:rsidR="009B022C" w:rsidRPr="00E716D0">
        <w:rPr>
          <w:rFonts w:eastAsia="Calibri" w:cstheme="minorHAnsi"/>
          <w:sz w:val="24"/>
          <w:szCs w:val="24"/>
          <w:rtl/>
        </w:rPr>
        <w:t>ל</w:t>
      </w:r>
      <w:r w:rsidR="00343A83" w:rsidRPr="00E716D0">
        <w:rPr>
          <w:rFonts w:eastAsia="Calibri" w:cstheme="minorHAnsi"/>
          <w:sz w:val="24"/>
          <w:szCs w:val="24"/>
          <w:rtl/>
        </w:rPr>
        <w:t>אשראי</w:t>
      </w:r>
      <w:r w:rsidR="009448A2" w:rsidRPr="00E716D0">
        <w:rPr>
          <w:rFonts w:eastAsia="Calibri" w:cstheme="minorHAnsi"/>
          <w:sz w:val="24"/>
          <w:szCs w:val="24"/>
          <w:rtl/>
        </w:rPr>
        <w:t xml:space="preserve"> ועוד</w:t>
      </w:r>
      <w:r w:rsidR="00343A83" w:rsidRPr="00E716D0">
        <w:rPr>
          <w:rFonts w:eastAsia="Calibri" w:cstheme="minorHAnsi"/>
          <w:sz w:val="24"/>
          <w:szCs w:val="24"/>
          <w:rtl/>
        </w:rPr>
        <w:t xml:space="preserve">. </w:t>
      </w:r>
    </w:p>
    <w:p w14:paraId="4EE5A0EA" w14:textId="77777777" w:rsidR="00E470EE" w:rsidRPr="00E716D0" w:rsidRDefault="00E470EE" w:rsidP="00E470EE">
      <w:pPr>
        <w:pStyle w:val="NormalWeb"/>
        <w:bidi/>
        <w:spacing w:line="360" w:lineRule="auto"/>
        <w:ind w:left="84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b/>
          <w:bCs/>
          <w:rtl/>
        </w:rPr>
        <w:t>מתכונת הסקר</w:t>
      </w:r>
    </w:p>
    <w:p w14:paraId="5A5B1A48" w14:textId="05C29B81" w:rsidR="00343A83" w:rsidRPr="00E716D0" w:rsidRDefault="00E470EE" w:rsidP="00BD4380">
      <w:pPr>
        <w:pStyle w:val="NormalWeb"/>
        <w:bidi/>
        <w:spacing w:line="360" w:lineRule="auto"/>
        <w:ind w:left="84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t xml:space="preserve">מתכונת סקר קציני אשראי מתבססת על סקרים דומים שנעשים על ידי בנקים מרכזיים מובילים בעולם, וביניהם הבנק המרכזי של ארה"ב, הבנק המרכזי האירופי, הבנק המרכזי של אנגליה ועוד. </w:t>
      </w:r>
      <w:r w:rsidR="00343A83" w:rsidRPr="00E716D0">
        <w:rPr>
          <w:rFonts w:asciiTheme="minorHAnsi" w:eastAsia="Calibri" w:hAnsiTheme="minorHAnsi" w:cstheme="minorHAnsi"/>
          <w:rtl/>
        </w:rPr>
        <w:t xml:space="preserve">הסקר </w:t>
      </w:r>
      <w:r w:rsidR="00E00F5C" w:rsidRPr="00E716D0">
        <w:rPr>
          <w:rFonts w:asciiTheme="minorHAnsi" w:eastAsia="Calibri" w:hAnsiTheme="minorHAnsi" w:cstheme="minorHAnsi"/>
          <w:rtl/>
        </w:rPr>
        <w:t>נערך</w:t>
      </w:r>
      <w:r w:rsidR="00343A83" w:rsidRPr="00E716D0">
        <w:rPr>
          <w:rFonts w:asciiTheme="minorHAnsi" w:eastAsia="Calibri" w:hAnsiTheme="minorHAnsi" w:cstheme="minorHAnsi"/>
          <w:rtl/>
        </w:rPr>
        <w:t xml:space="preserve"> אחת לרביע, מכיל 22 שאלות </w:t>
      </w:r>
      <w:r w:rsidR="009448A2" w:rsidRPr="00E716D0">
        <w:rPr>
          <w:rFonts w:asciiTheme="minorHAnsi" w:eastAsia="Calibri" w:hAnsiTheme="minorHAnsi" w:cstheme="minorHAnsi"/>
          <w:rtl/>
        </w:rPr>
        <w:t>המתייחסות להיבטים שונים בתחומי האשראי ל</w:t>
      </w:r>
      <w:r w:rsidR="00343A83" w:rsidRPr="00E716D0">
        <w:rPr>
          <w:rFonts w:asciiTheme="minorHAnsi" w:eastAsia="Calibri" w:hAnsiTheme="minorHAnsi" w:cstheme="minorHAnsi"/>
          <w:rtl/>
        </w:rPr>
        <w:t xml:space="preserve">משקי </w:t>
      </w:r>
      <w:r w:rsidR="009448A2" w:rsidRPr="00E716D0">
        <w:rPr>
          <w:rFonts w:asciiTheme="minorHAnsi" w:eastAsia="Calibri" w:hAnsiTheme="minorHAnsi" w:cstheme="minorHAnsi"/>
          <w:rtl/>
        </w:rPr>
        <w:t>ה</w:t>
      </w:r>
      <w:r w:rsidR="00343A83" w:rsidRPr="00E716D0">
        <w:rPr>
          <w:rFonts w:asciiTheme="minorHAnsi" w:eastAsia="Calibri" w:hAnsiTheme="minorHAnsi" w:cstheme="minorHAnsi"/>
          <w:rtl/>
        </w:rPr>
        <w:t>בית</w:t>
      </w:r>
      <w:r w:rsidR="009448A2" w:rsidRPr="00E716D0">
        <w:rPr>
          <w:rFonts w:asciiTheme="minorHAnsi" w:eastAsia="Calibri" w:hAnsiTheme="minorHAnsi" w:cstheme="minorHAnsi"/>
          <w:rtl/>
        </w:rPr>
        <w:t xml:space="preserve"> </w:t>
      </w:r>
      <w:r w:rsidR="00343A83" w:rsidRPr="00E716D0">
        <w:rPr>
          <w:rFonts w:asciiTheme="minorHAnsi" w:eastAsia="Calibri" w:hAnsiTheme="minorHAnsi" w:cstheme="minorHAnsi"/>
          <w:rtl/>
        </w:rPr>
        <w:t>למטרת מגורים</w:t>
      </w:r>
      <w:r w:rsidR="009448A2" w:rsidRPr="00E716D0">
        <w:rPr>
          <w:rFonts w:asciiTheme="minorHAnsi" w:eastAsia="Calibri" w:hAnsiTheme="minorHAnsi" w:cstheme="minorHAnsi"/>
          <w:rtl/>
        </w:rPr>
        <w:t xml:space="preserve"> </w:t>
      </w:r>
      <w:r w:rsidR="00343A83" w:rsidRPr="00E716D0">
        <w:rPr>
          <w:rFonts w:asciiTheme="minorHAnsi" w:eastAsia="Calibri" w:hAnsiTheme="minorHAnsi" w:cstheme="minorHAnsi"/>
          <w:rtl/>
        </w:rPr>
        <w:t>ואשראי צרכני</w:t>
      </w:r>
      <w:r w:rsidRPr="00E716D0">
        <w:rPr>
          <w:rFonts w:asciiTheme="minorHAnsi" w:eastAsia="Calibri" w:hAnsiTheme="minorHAnsi" w:cstheme="minorHAnsi"/>
          <w:rtl/>
        </w:rPr>
        <w:t xml:space="preserve">, וכן אשראי לעסקים לפי </w:t>
      </w:r>
      <w:r w:rsidR="00343A83" w:rsidRPr="00E716D0">
        <w:rPr>
          <w:rFonts w:asciiTheme="minorHAnsi" w:eastAsia="Calibri" w:hAnsiTheme="minorHAnsi" w:cstheme="minorHAnsi"/>
          <w:rtl/>
        </w:rPr>
        <w:t xml:space="preserve">גודל העסק </w:t>
      </w:r>
      <w:r w:rsidRPr="00E716D0">
        <w:rPr>
          <w:rFonts w:asciiTheme="minorHAnsi" w:eastAsia="Calibri" w:hAnsiTheme="minorHAnsi" w:cstheme="minorHAnsi"/>
          <w:rtl/>
        </w:rPr>
        <w:t xml:space="preserve">עם תשומת לב מיוחדת </w:t>
      </w:r>
      <w:r w:rsidR="00343A83" w:rsidRPr="00E716D0">
        <w:rPr>
          <w:rFonts w:asciiTheme="minorHAnsi" w:eastAsia="Calibri" w:hAnsiTheme="minorHAnsi" w:cstheme="minorHAnsi"/>
          <w:rtl/>
        </w:rPr>
        <w:t>ל</w:t>
      </w:r>
      <w:r w:rsidRPr="00E716D0">
        <w:rPr>
          <w:rFonts w:asciiTheme="minorHAnsi" w:eastAsia="Calibri" w:hAnsiTheme="minorHAnsi" w:cstheme="minorHAnsi"/>
          <w:rtl/>
        </w:rPr>
        <w:t>אשראי ל</w:t>
      </w:r>
      <w:r w:rsidR="00343A83" w:rsidRPr="00E716D0">
        <w:rPr>
          <w:rFonts w:asciiTheme="minorHAnsi" w:eastAsia="Calibri" w:hAnsiTheme="minorHAnsi" w:cstheme="minorHAnsi"/>
          <w:rtl/>
        </w:rPr>
        <w:t>ענפי הבינוי והנדל"ן</w:t>
      </w:r>
      <w:r w:rsidR="00343A83" w:rsidRPr="00E716D0">
        <w:rPr>
          <w:rFonts w:asciiTheme="minorHAnsi" w:eastAsia="Calibri" w:hAnsiTheme="minorHAnsi" w:cstheme="minorHAnsi"/>
        </w:rPr>
        <w:t>.</w:t>
      </w:r>
      <w:r w:rsidR="00343A83" w:rsidRPr="00E716D0">
        <w:rPr>
          <w:rFonts w:asciiTheme="minorHAnsi" w:eastAsia="Calibri" w:hAnsiTheme="minorHAnsi" w:cstheme="minorHAnsi"/>
          <w:rtl/>
        </w:rPr>
        <w:t xml:space="preserve"> השאלות </w:t>
      </w:r>
      <w:r w:rsidRPr="00E716D0">
        <w:rPr>
          <w:rFonts w:asciiTheme="minorHAnsi" w:eastAsia="Calibri" w:hAnsiTheme="minorHAnsi" w:cstheme="minorHAnsi"/>
          <w:rtl/>
        </w:rPr>
        <w:t xml:space="preserve">שבסקר </w:t>
      </w:r>
      <w:r w:rsidR="00343A83" w:rsidRPr="00E716D0">
        <w:rPr>
          <w:rFonts w:asciiTheme="minorHAnsi" w:eastAsia="Calibri" w:hAnsiTheme="minorHAnsi" w:cstheme="minorHAnsi"/>
          <w:rtl/>
        </w:rPr>
        <w:t xml:space="preserve">מתייחסות להתפתחויות </w:t>
      </w:r>
      <w:r w:rsidRPr="00E716D0">
        <w:rPr>
          <w:rFonts w:asciiTheme="minorHAnsi" w:eastAsia="Calibri" w:hAnsiTheme="minorHAnsi" w:cstheme="minorHAnsi"/>
          <w:rtl/>
        </w:rPr>
        <w:t xml:space="preserve">שחלו בפועל </w:t>
      </w:r>
      <w:r w:rsidR="00343A83" w:rsidRPr="00E716D0">
        <w:rPr>
          <w:rFonts w:asciiTheme="minorHAnsi" w:eastAsia="Calibri" w:hAnsiTheme="minorHAnsi" w:cstheme="minorHAnsi"/>
          <w:rtl/>
        </w:rPr>
        <w:t>ב</w:t>
      </w:r>
      <w:r w:rsidR="00E00F5C" w:rsidRPr="00E716D0">
        <w:rPr>
          <w:rFonts w:asciiTheme="minorHAnsi" w:eastAsia="Calibri" w:hAnsiTheme="minorHAnsi" w:cstheme="minorHAnsi"/>
          <w:rtl/>
        </w:rPr>
        <w:t>רבע</w:t>
      </w:r>
      <w:r w:rsidRPr="00E716D0">
        <w:rPr>
          <w:rFonts w:asciiTheme="minorHAnsi" w:eastAsia="Calibri" w:hAnsiTheme="minorHAnsi" w:cstheme="minorHAnsi"/>
          <w:rtl/>
        </w:rPr>
        <w:t>ון</w:t>
      </w:r>
      <w:r w:rsidR="00E00F5C" w:rsidRPr="00E716D0">
        <w:rPr>
          <w:rFonts w:asciiTheme="minorHAnsi" w:eastAsia="Calibri" w:hAnsiTheme="minorHAnsi" w:cstheme="minorHAnsi"/>
          <w:rtl/>
        </w:rPr>
        <w:t xml:space="preserve"> </w:t>
      </w:r>
      <w:r w:rsidR="00343A83" w:rsidRPr="00E716D0">
        <w:rPr>
          <w:rFonts w:asciiTheme="minorHAnsi" w:eastAsia="Calibri" w:hAnsiTheme="minorHAnsi" w:cstheme="minorHAnsi"/>
          <w:rtl/>
        </w:rPr>
        <w:t>ה</w:t>
      </w:r>
      <w:r w:rsidRPr="00E716D0">
        <w:rPr>
          <w:rFonts w:asciiTheme="minorHAnsi" w:eastAsia="Calibri" w:hAnsiTheme="minorHAnsi" w:cstheme="minorHAnsi"/>
          <w:rtl/>
        </w:rPr>
        <w:t>אחרון</w:t>
      </w:r>
      <w:r w:rsidR="00343A83" w:rsidRPr="00E716D0">
        <w:rPr>
          <w:rFonts w:asciiTheme="minorHAnsi" w:eastAsia="Calibri" w:hAnsiTheme="minorHAnsi" w:cstheme="minorHAnsi"/>
          <w:rtl/>
        </w:rPr>
        <w:t xml:space="preserve"> ו</w:t>
      </w:r>
      <w:r w:rsidR="00EF1F37" w:rsidRPr="00E716D0">
        <w:rPr>
          <w:rFonts w:asciiTheme="minorHAnsi" w:eastAsia="Calibri" w:hAnsiTheme="minorHAnsi" w:cstheme="minorHAnsi"/>
          <w:rtl/>
        </w:rPr>
        <w:t>להערכת הבנקים לגבי ה</w:t>
      </w:r>
      <w:r w:rsidRPr="00E716D0">
        <w:rPr>
          <w:rFonts w:asciiTheme="minorHAnsi" w:eastAsia="Calibri" w:hAnsiTheme="minorHAnsi" w:cstheme="minorHAnsi"/>
          <w:rtl/>
        </w:rPr>
        <w:t xml:space="preserve">התפתחויות הצפויות </w:t>
      </w:r>
      <w:r w:rsidR="00343A83" w:rsidRPr="00E716D0">
        <w:rPr>
          <w:rFonts w:asciiTheme="minorHAnsi" w:eastAsia="Calibri" w:hAnsiTheme="minorHAnsi" w:cstheme="minorHAnsi"/>
          <w:rtl/>
        </w:rPr>
        <w:t>ל</w:t>
      </w:r>
      <w:r w:rsidR="00E00F5C" w:rsidRPr="00E716D0">
        <w:rPr>
          <w:rFonts w:asciiTheme="minorHAnsi" w:eastAsia="Calibri" w:hAnsiTheme="minorHAnsi" w:cstheme="minorHAnsi"/>
          <w:rtl/>
        </w:rPr>
        <w:t>רביע ה</w:t>
      </w:r>
      <w:r w:rsidRPr="00E716D0">
        <w:rPr>
          <w:rFonts w:asciiTheme="minorHAnsi" w:eastAsia="Calibri" w:hAnsiTheme="minorHAnsi" w:cstheme="minorHAnsi"/>
          <w:rtl/>
        </w:rPr>
        <w:t xml:space="preserve">עוקב, בתחומי </w:t>
      </w:r>
      <w:r w:rsidR="00E00F5C" w:rsidRPr="00E716D0">
        <w:rPr>
          <w:rFonts w:asciiTheme="minorHAnsi" w:eastAsia="Calibri" w:hAnsiTheme="minorHAnsi" w:cstheme="minorHAnsi"/>
          <w:rtl/>
        </w:rPr>
        <w:t xml:space="preserve">מדיניות העמדת האשראי, תנאי האשראי </w:t>
      </w:r>
      <w:r w:rsidRPr="00E716D0">
        <w:rPr>
          <w:rFonts w:asciiTheme="minorHAnsi" w:eastAsia="Calibri" w:hAnsiTheme="minorHAnsi" w:cstheme="minorHAnsi"/>
          <w:rtl/>
        </w:rPr>
        <w:t xml:space="preserve">המוצע, </w:t>
      </w:r>
      <w:r w:rsidR="00E00F5C" w:rsidRPr="00E716D0">
        <w:rPr>
          <w:rFonts w:asciiTheme="minorHAnsi" w:eastAsia="Calibri" w:hAnsiTheme="minorHAnsi" w:cstheme="minorHAnsi"/>
          <w:rtl/>
        </w:rPr>
        <w:t>וכן הביקוש לאשראי</w:t>
      </w:r>
      <w:r w:rsidR="00EF1F37" w:rsidRPr="00E716D0">
        <w:rPr>
          <w:rFonts w:asciiTheme="minorHAnsi" w:eastAsia="Calibri" w:hAnsiTheme="minorHAnsi" w:cstheme="minorHAnsi"/>
          <w:rtl/>
        </w:rPr>
        <w:t xml:space="preserve"> ממערכת הבנקאות</w:t>
      </w:r>
      <w:r w:rsidR="00E00F5C" w:rsidRPr="00E716D0">
        <w:rPr>
          <w:rFonts w:asciiTheme="minorHAnsi" w:eastAsia="Calibri" w:hAnsiTheme="minorHAnsi" w:cstheme="minorHAnsi"/>
          <w:rtl/>
        </w:rPr>
        <w:t xml:space="preserve">. </w:t>
      </w:r>
      <w:r w:rsidRPr="00E716D0">
        <w:rPr>
          <w:rFonts w:asciiTheme="minorHAnsi" w:eastAsia="Calibri" w:hAnsiTheme="minorHAnsi" w:cstheme="minorHAnsi"/>
          <w:rtl/>
        </w:rPr>
        <w:t xml:space="preserve">בנוסף, </w:t>
      </w:r>
      <w:r w:rsidR="00E00F5C" w:rsidRPr="00E716D0">
        <w:rPr>
          <w:rFonts w:asciiTheme="minorHAnsi" w:eastAsia="Calibri" w:hAnsiTheme="minorHAnsi" w:cstheme="minorHAnsi"/>
          <w:rtl/>
        </w:rPr>
        <w:t xml:space="preserve">הוא מתייחס לגורמים שמשפיעים על ההיצע והביקוש לאשראי. </w:t>
      </w:r>
    </w:p>
    <w:p w14:paraId="15D45877" w14:textId="2650C1D0" w:rsidR="005474DB" w:rsidRPr="00E716D0" w:rsidRDefault="005474DB" w:rsidP="00A5701F">
      <w:pPr>
        <w:pStyle w:val="NormalWeb"/>
        <w:bidi/>
        <w:spacing w:line="360" w:lineRule="auto"/>
        <w:ind w:left="84"/>
        <w:jc w:val="both"/>
        <w:rPr>
          <w:rFonts w:asciiTheme="minorHAns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t>הסקר נשלח לכל התאגידים הבנקאיים בישראל (10 בנקים)</w:t>
      </w:r>
      <w:r w:rsidR="00A5701F" w:rsidRPr="00E716D0">
        <w:rPr>
          <w:rFonts w:asciiTheme="minorHAnsi" w:eastAsia="Calibri" w:hAnsiTheme="minorHAnsi" w:cstheme="minorHAnsi"/>
          <w:rtl/>
        </w:rPr>
        <w:t xml:space="preserve"> ומילויו מתבצע על ידי מחלקות האשראי בבנקים.     </w:t>
      </w:r>
      <w:r w:rsidRPr="00E716D0">
        <w:rPr>
          <w:rFonts w:asciiTheme="minorHAnsi" w:eastAsia="Calibri" w:hAnsiTheme="minorHAnsi" w:cstheme="minorHAnsi"/>
          <w:rtl/>
        </w:rPr>
        <w:t xml:space="preserve">   </w:t>
      </w:r>
    </w:p>
    <w:p w14:paraId="56F37C15" w14:textId="77777777" w:rsidR="00E716D0" w:rsidRDefault="00E716D0" w:rsidP="00ED21F7">
      <w:pPr>
        <w:pStyle w:val="NormalWeb"/>
        <w:bidi/>
        <w:spacing w:line="360" w:lineRule="auto"/>
        <w:rPr>
          <w:rFonts w:asciiTheme="minorHAnsi" w:hAnsiTheme="minorHAnsi" w:cstheme="minorHAnsi"/>
          <w:rtl/>
        </w:rPr>
      </w:pPr>
    </w:p>
    <w:p w14:paraId="5F4F406C" w14:textId="77777777" w:rsidR="00E716D0" w:rsidRDefault="00E716D0" w:rsidP="00E716D0">
      <w:pPr>
        <w:pStyle w:val="NormalWeb"/>
        <w:bidi/>
        <w:spacing w:line="360" w:lineRule="auto"/>
        <w:rPr>
          <w:rFonts w:asciiTheme="minorHAnsi" w:hAnsiTheme="minorHAnsi" w:cstheme="minorHAnsi"/>
          <w:rtl/>
        </w:rPr>
      </w:pPr>
    </w:p>
    <w:p w14:paraId="5EB569AE" w14:textId="77777777" w:rsidR="00E716D0" w:rsidRDefault="00E716D0" w:rsidP="00E716D0">
      <w:pPr>
        <w:pStyle w:val="NormalWeb"/>
        <w:bidi/>
        <w:spacing w:line="360" w:lineRule="auto"/>
        <w:rPr>
          <w:rFonts w:asciiTheme="minorHAnsi" w:hAnsiTheme="minorHAnsi" w:cstheme="minorHAnsi"/>
          <w:rtl/>
        </w:rPr>
      </w:pPr>
    </w:p>
    <w:p w14:paraId="644C2C40" w14:textId="77777777" w:rsidR="00E716D0" w:rsidRDefault="00E716D0" w:rsidP="00E716D0">
      <w:pPr>
        <w:pStyle w:val="NormalWeb"/>
        <w:bidi/>
        <w:spacing w:line="360" w:lineRule="auto"/>
        <w:rPr>
          <w:rFonts w:asciiTheme="minorHAnsi" w:hAnsiTheme="minorHAnsi" w:cstheme="minorHAnsi"/>
          <w:rtl/>
        </w:rPr>
      </w:pPr>
    </w:p>
    <w:p w14:paraId="1AEB3321" w14:textId="77777777" w:rsidR="00E716D0" w:rsidRDefault="00E716D0" w:rsidP="00E716D0">
      <w:pPr>
        <w:pStyle w:val="NormalWeb"/>
        <w:bidi/>
        <w:spacing w:line="360" w:lineRule="auto"/>
        <w:rPr>
          <w:rFonts w:asciiTheme="minorHAnsi" w:hAnsiTheme="minorHAnsi" w:cstheme="minorHAnsi"/>
          <w:rtl/>
        </w:rPr>
      </w:pPr>
    </w:p>
    <w:p w14:paraId="0FE27BBC" w14:textId="594A855D" w:rsidR="00ED21F7" w:rsidRPr="00E716D0" w:rsidRDefault="00ED21F7" w:rsidP="00E716D0">
      <w:pPr>
        <w:pStyle w:val="NormalWeb"/>
        <w:bidi/>
        <w:spacing w:line="360" w:lineRule="auto"/>
        <w:rPr>
          <w:rFonts w:asciiTheme="minorHAnsi" w:eastAsia="Calibri" w:hAnsiTheme="minorHAnsi" w:cstheme="minorHAnsi"/>
          <w:b/>
          <w:bCs/>
          <w:rtl/>
        </w:rPr>
      </w:pPr>
      <w:r w:rsidRPr="00E716D0">
        <w:rPr>
          <w:rFonts w:asciiTheme="minorHAnsi" w:eastAsia="Calibri" w:hAnsiTheme="minorHAnsi" w:cstheme="minorHAnsi"/>
          <w:b/>
          <w:bCs/>
          <w:rtl/>
        </w:rPr>
        <w:lastRenderedPageBreak/>
        <w:t>הממצאים העיקריים</w:t>
      </w:r>
    </w:p>
    <w:p w14:paraId="7EB183AE" w14:textId="0533DEB7" w:rsidR="0084093E" w:rsidRPr="00E716D0" w:rsidRDefault="0084093E" w:rsidP="00BD4380">
      <w:pPr>
        <w:pStyle w:val="NormalWeb"/>
        <w:bidi/>
        <w:spacing w:before="0" w:beforeAutospacing="0" w:after="240" w:afterAutospacing="0" w:line="360" w:lineRule="auto"/>
        <w:jc w:val="both"/>
        <w:rPr>
          <w:rFonts w:asciiTheme="minorHAnsi" w:eastAsia="Calibri" w:hAnsiTheme="minorHAnsi" w:cstheme="minorHAnsi"/>
        </w:rPr>
      </w:pPr>
      <w:r w:rsidRPr="00E716D0">
        <w:rPr>
          <w:rFonts w:asciiTheme="minorHAnsi" w:eastAsia="Calibri" w:hAnsiTheme="minorHAnsi" w:cstheme="minorHAnsi"/>
          <w:rtl/>
        </w:rPr>
        <w:t xml:space="preserve">הממצאים </w:t>
      </w:r>
      <w:r w:rsidR="00ED21F7" w:rsidRPr="00E716D0">
        <w:rPr>
          <w:rFonts w:asciiTheme="minorHAnsi" w:eastAsia="Calibri" w:hAnsiTheme="minorHAnsi" w:cstheme="minorHAnsi"/>
          <w:rtl/>
        </w:rPr>
        <w:t xml:space="preserve">המתפרסמים כאן </w:t>
      </w:r>
      <w:r w:rsidRPr="00E716D0">
        <w:rPr>
          <w:rFonts w:asciiTheme="minorHAnsi" w:eastAsia="Calibri" w:hAnsiTheme="minorHAnsi" w:cstheme="minorHAnsi"/>
          <w:rtl/>
        </w:rPr>
        <w:t xml:space="preserve">מצרפיים </w:t>
      </w:r>
      <w:r w:rsidR="00ED21F7" w:rsidRPr="00E716D0">
        <w:rPr>
          <w:rFonts w:asciiTheme="minorHAnsi" w:eastAsia="Calibri" w:hAnsiTheme="minorHAnsi" w:cstheme="minorHAnsi"/>
          <w:rtl/>
        </w:rPr>
        <w:t>ו</w:t>
      </w:r>
      <w:r w:rsidRPr="00E716D0">
        <w:rPr>
          <w:rFonts w:asciiTheme="minorHAnsi" w:eastAsia="Calibri" w:hAnsiTheme="minorHAnsi" w:cstheme="minorHAnsi"/>
          <w:rtl/>
        </w:rPr>
        <w:t>מתייחסים לכלל התאגידים הבנקאיים</w:t>
      </w:r>
      <w:r w:rsidR="00ED21F7" w:rsidRPr="00E716D0">
        <w:rPr>
          <w:rFonts w:asciiTheme="minorHAnsi" w:eastAsia="Calibri" w:hAnsiTheme="minorHAnsi" w:cstheme="minorHAnsi"/>
          <w:rtl/>
        </w:rPr>
        <w:t>.</w:t>
      </w:r>
      <w:r w:rsidRPr="00E716D0">
        <w:rPr>
          <w:rFonts w:asciiTheme="minorHAnsi" w:eastAsia="Calibri" w:hAnsiTheme="minorHAnsi" w:cstheme="minorHAnsi"/>
          <w:rtl/>
        </w:rPr>
        <w:t xml:space="preserve"> הם מיוצגים באמצעות מאזני נטו משוקללים</w:t>
      </w:r>
      <w:r w:rsidRPr="00E716D0">
        <w:rPr>
          <w:rStyle w:val="FootnoteReference"/>
          <w:rFonts w:asciiTheme="minorHAnsi" w:eastAsia="Calibri" w:hAnsiTheme="minorHAnsi" w:cstheme="minorHAnsi"/>
          <w:rtl/>
        </w:rPr>
        <w:footnoteReference w:id="1"/>
      </w:r>
      <w:r w:rsidR="00ED21F7" w:rsidRPr="00E716D0">
        <w:rPr>
          <w:rFonts w:asciiTheme="minorHAnsi" w:eastAsia="Calibri" w:hAnsiTheme="minorHAnsi" w:cstheme="minorHAnsi"/>
          <w:rtl/>
        </w:rPr>
        <w:t>, ה</w:t>
      </w:r>
      <w:r w:rsidRPr="00E716D0">
        <w:rPr>
          <w:rFonts w:asciiTheme="minorHAnsi" w:eastAsia="Calibri" w:hAnsiTheme="minorHAnsi" w:cstheme="minorHAnsi"/>
          <w:rtl/>
        </w:rPr>
        <w:t>מסכמים את השינוי שחל ברביע הנסקר לעומת הרביע שקדם לו</w:t>
      </w:r>
      <w:r w:rsidR="00ED21F7" w:rsidRPr="00E716D0">
        <w:rPr>
          <w:rFonts w:asciiTheme="minorHAnsi" w:eastAsia="Calibri" w:hAnsiTheme="minorHAnsi" w:cstheme="minorHAnsi"/>
          <w:rtl/>
        </w:rPr>
        <w:t>,</w:t>
      </w:r>
      <w:r w:rsidRPr="00E716D0">
        <w:rPr>
          <w:rFonts w:asciiTheme="minorHAnsi" w:eastAsia="Calibri" w:hAnsiTheme="minorHAnsi" w:cstheme="minorHAnsi"/>
          <w:rtl/>
        </w:rPr>
        <w:t xml:space="preserve"> או השינוי הצפוי ברביע ה</w:t>
      </w:r>
      <w:r w:rsidR="00ED21F7" w:rsidRPr="00E716D0">
        <w:rPr>
          <w:rFonts w:asciiTheme="minorHAnsi" w:eastAsia="Calibri" w:hAnsiTheme="minorHAnsi" w:cstheme="minorHAnsi"/>
          <w:rtl/>
        </w:rPr>
        <w:t>עוקב</w:t>
      </w:r>
      <w:r w:rsidRPr="00E716D0">
        <w:rPr>
          <w:rFonts w:asciiTheme="minorHAnsi" w:eastAsia="Calibri" w:hAnsiTheme="minorHAnsi" w:cstheme="minorHAnsi"/>
          <w:rtl/>
        </w:rPr>
        <w:t xml:space="preserve"> לעומת הרביע הנסקר. </w:t>
      </w:r>
      <w:r w:rsidR="00D40E95" w:rsidRPr="00E716D0">
        <w:rPr>
          <w:rFonts w:asciiTheme="minorHAnsi" w:eastAsia="Calibri" w:hAnsiTheme="minorHAnsi" w:cstheme="minorHAnsi"/>
          <w:rtl/>
        </w:rPr>
        <w:t xml:space="preserve">הנתונים </w:t>
      </w:r>
      <w:r w:rsidR="007758D3" w:rsidRPr="00E716D0">
        <w:rPr>
          <w:rFonts w:asciiTheme="minorHAnsi" w:eastAsia="Calibri" w:hAnsiTheme="minorHAnsi" w:cstheme="minorHAnsi"/>
          <w:rtl/>
        </w:rPr>
        <w:t xml:space="preserve">בסקר </w:t>
      </w:r>
      <w:r w:rsidR="00D40E95" w:rsidRPr="00E716D0">
        <w:rPr>
          <w:rFonts w:asciiTheme="minorHAnsi" w:eastAsia="Calibri" w:hAnsiTheme="minorHAnsi" w:cstheme="minorHAnsi"/>
          <w:rtl/>
        </w:rPr>
        <w:t>נאספו מהתאגידים הבנקאיים במהלך המ</w:t>
      </w:r>
      <w:r w:rsidR="00F54160" w:rsidRPr="00E716D0">
        <w:rPr>
          <w:rFonts w:asciiTheme="minorHAnsi" w:eastAsia="Calibri" w:hAnsiTheme="minorHAnsi" w:cstheme="minorHAnsi"/>
          <w:rtl/>
        </w:rPr>
        <w:t>ח</w:t>
      </w:r>
      <w:r w:rsidR="00D40E95" w:rsidRPr="00E716D0">
        <w:rPr>
          <w:rFonts w:asciiTheme="minorHAnsi" w:eastAsia="Calibri" w:hAnsiTheme="minorHAnsi" w:cstheme="minorHAnsi"/>
          <w:rtl/>
        </w:rPr>
        <w:t xml:space="preserve">צית השנייה של חודש מרץ 2025. </w:t>
      </w:r>
      <w:r w:rsidRPr="00E716D0">
        <w:rPr>
          <w:rFonts w:asciiTheme="minorHAnsi" w:eastAsia="Calibri" w:hAnsiTheme="minorHAnsi" w:cstheme="minorHAnsi"/>
          <w:rtl/>
        </w:rPr>
        <w:t xml:space="preserve">   </w:t>
      </w:r>
    </w:p>
    <w:p w14:paraId="08AA9CAC" w14:textId="77777777" w:rsidR="00E81196" w:rsidRPr="00E716D0" w:rsidRDefault="00EF1F37" w:rsidP="00766DF5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E716D0">
        <w:rPr>
          <w:rFonts w:asciiTheme="minorHAnsi" w:eastAsia="Calibri" w:hAnsiTheme="minorHAnsi" w:cstheme="minorHAnsi"/>
          <w:rtl/>
        </w:rPr>
        <w:t xml:space="preserve">ברביע הראשון של השנה, </w:t>
      </w:r>
      <w:r w:rsidR="00ED21F7" w:rsidRPr="00E716D0">
        <w:rPr>
          <w:rFonts w:asciiTheme="minorHAnsi" w:eastAsia="Calibri" w:hAnsiTheme="minorHAnsi" w:cstheme="minorHAnsi"/>
          <w:rtl/>
        </w:rPr>
        <w:t>חל</w:t>
      </w:r>
      <w:r w:rsidR="00D179D0" w:rsidRPr="00E716D0">
        <w:rPr>
          <w:rFonts w:asciiTheme="minorHAnsi" w:eastAsia="Calibri" w:hAnsiTheme="minorHAnsi" w:cstheme="minorHAnsi"/>
          <w:rtl/>
        </w:rPr>
        <w:t xml:space="preserve">ה התמתנות בגידול בביקוש </w:t>
      </w:r>
      <w:r w:rsidR="00396D11" w:rsidRPr="00E716D0">
        <w:rPr>
          <w:rFonts w:asciiTheme="minorHAnsi" w:eastAsia="Calibri" w:hAnsiTheme="minorHAnsi" w:cstheme="minorHAnsi"/>
          <w:rtl/>
        </w:rPr>
        <w:t>לאשראי</w:t>
      </w:r>
      <w:r w:rsidR="00396D11" w:rsidRPr="00E716D0">
        <w:rPr>
          <w:rFonts w:asciiTheme="minorHAnsi" w:eastAsia="Calibri" w:hAnsiTheme="minorHAnsi" w:cstheme="minorHAnsi"/>
        </w:rPr>
        <w:t xml:space="preserve"> </w:t>
      </w:r>
      <w:r w:rsidR="00396D11" w:rsidRPr="00E716D0">
        <w:rPr>
          <w:rFonts w:asciiTheme="minorHAnsi" w:eastAsia="Calibri" w:hAnsiTheme="minorHAnsi" w:cstheme="minorHAnsi"/>
          <w:rtl/>
        </w:rPr>
        <w:t>של</w:t>
      </w:r>
      <w:r w:rsidR="00396D11" w:rsidRPr="00E716D0">
        <w:rPr>
          <w:rFonts w:asciiTheme="minorHAnsi" w:eastAsia="Calibri" w:hAnsiTheme="minorHAnsi" w:cstheme="minorHAnsi"/>
        </w:rPr>
        <w:t xml:space="preserve"> </w:t>
      </w:r>
      <w:r w:rsidR="00396D11" w:rsidRPr="00E716D0">
        <w:rPr>
          <w:rFonts w:asciiTheme="minorHAnsi" w:eastAsia="Calibri" w:hAnsiTheme="minorHAnsi" w:cstheme="minorHAnsi"/>
          <w:rtl/>
        </w:rPr>
        <w:t>עסקים</w:t>
      </w:r>
      <w:r w:rsidR="00396D11" w:rsidRPr="00E716D0">
        <w:rPr>
          <w:rFonts w:asciiTheme="minorHAnsi" w:eastAsia="Calibri" w:hAnsiTheme="minorHAnsi" w:cstheme="minorHAnsi"/>
        </w:rPr>
        <w:t xml:space="preserve"> </w:t>
      </w:r>
      <w:r w:rsidR="00396D11" w:rsidRPr="00E716D0">
        <w:rPr>
          <w:rFonts w:asciiTheme="minorHAnsi" w:eastAsia="Calibri" w:hAnsiTheme="minorHAnsi" w:cstheme="minorHAnsi"/>
          <w:rtl/>
        </w:rPr>
        <w:t>זעירים</w:t>
      </w:r>
      <w:r w:rsidR="00396D11" w:rsidRPr="00E716D0">
        <w:rPr>
          <w:rFonts w:asciiTheme="minorHAnsi" w:eastAsia="Calibri" w:hAnsiTheme="minorHAnsi" w:cstheme="minorHAnsi"/>
        </w:rPr>
        <w:t xml:space="preserve"> </w:t>
      </w:r>
      <w:r w:rsidR="00396D11" w:rsidRPr="00E716D0">
        <w:rPr>
          <w:rFonts w:asciiTheme="minorHAnsi" w:eastAsia="Calibri" w:hAnsiTheme="minorHAnsi" w:cstheme="minorHAnsi"/>
          <w:rtl/>
        </w:rPr>
        <w:t xml:space="preserve">וקטנים </w:t>
      </w:r>
      <w:r w:rsidR="00766DF5" w:rsidRPr="00E716D0">
        <w:rPr>
          <w:rFonts w:asciiTheme="minorHAnsi" w:eastAsia="Calibri" w:hAnsiTheme="minorHAnsi" w:cstheme="minorHAnsi"/>
          <w:rtl/>
        </w:rPr>
        <w:t xml:space="preserve">עם </w:t>
      </w:r>
      <w:r w:rsidR="00D179D0" w:rsidRPr="00E716D0">
        <w:rPr>
          <w:rFonts w:asciiTheme="minorHAnsi" w:eastAsia="Calibri" w:hAnsiTheme="minorHAnsi" w:cstheme="minorHAnsi"/>
          <w:rtl/>
        </w:rPr>
        <w:t xml:space="preserve">צפי לגידול </w:t>
      </w:r>
      <w:r w:rsidR="00766DF5" w:rsidRPr="00E716D0">
        <w:rPr>
          <w:rFonts w:asciiTheme="minorHAnsi" w:eastAsia="Calibri" w:hAnsiTheme="minorHAnsi" w:cstheme="minorHAnsi"/>
          <w:rtl/>
        </w:rPr>
        <w:t xml:space="preserve">בביקוש </w:t>
      </w:r>
      <w:r w:rsidR="00D179D0" w:rsidRPr="00E716D0">
        <w:rPr>
          <w:rFonts w:asciiTheme="minorHAnsi" w:eastAsia="Calibri" w:hAnsiTheme="minorHAnsi" w:cstheme="minorHAnsi"/>
          <w:rtl/>
        </w:rPr>
        <w:t>ברביע הבא.</w:t>
      </w:r>
    </w:p>
    <w:p w14:paraId="14491747" w14:textId="64475067" w:rsidR="001A0F3B" w:rsidRPr="00E716D0" w:rsidRDefault="00396D11" w:rsidP="00D8448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E716D0">
        <w:rPr>
          <w:rFonts w:asciiTheme="minorHAnsi" w:eastAsia="Calibri" w:hAnsiTheme="minorHAnsi" w:cstheme="minorHAnsi"/>
          <w:rtl/>
        </w:rPr>
        <w:t>צפי</w:t>
      </w:r>
      <w:r w:rsidRPr="00E716D0">
        <w:rPr>
          <w:rFonts w:asciiTheme="minorHAnsi" w:eastAsia="Calibri" w:hAnsiTheme="minorHAnsi" w:cstheme="minorHAnsi"/>
        </w:rPr>
        <w:t xml:space="preserve"> </w:t>
      </w:r>
      <w:r w:rsidR="001A0F3B" w:rsidRPr="00E716D0">
        <w:rPr>
          <w:rFonts w:asciiTheme="minorHAnsi" w:eastAsia="Calibri" w:hAnsiTheme="minorHAnsi" w:cstheme="minorHAnsi"/>
          <w:rtl/>
        </w:rPr>
        <w:t>ל</w:t>
      </w:r>
      <w:r w:rsidR="00193B3E" w:rsidRPr="00E716D0">
        <w:rPr>
          <w:rFonts w:asciiTheme="minorHAnsi" w:eastAsia="Calibri" w:hAnsiTheme="minorHAnsi" w:cstheme="minorHAnsi"/>
          <w:rtl/>
        </w:rPr>
        <w:t xml:space="preserve">ירידה בביקוש </w:t>
      </w:r>
      <w:r w:rsidR="007A7E8C" w:rsidRPr="00E716D0">
        <w:rPr>
          <w:rFonts w:asciiTheme="minorHAnsi" w:eastAsia="Calibri" w:hAnsiTheme="minorHAnsi" w:cstheme="minorHAnsi"/>
          <w:rtl/>
        </w:rPr>
        <w:t>ל</w:t>
      </w:r>
      <w:r w:rsidR="00193B3E" w:rsidRPr="00E716D0">
        <w:rPr>
          <w:rFonts w:asciiTheme="minorHAnsi" w:eastAsia="Calibri" w:hAnsiTheme="minorHAnsi" w:cstheme="minorHAnsi"/>
          <w:rtl/>
        </w:rPr>
        <w:t xml:space="preserve">אשראי </w:t>
      </w:r>
      <w:r w:rsidR="001A0F3B" w:rsidRPr="00E716D0">
        <w:rPr>
          <w:rFonts w:asciiTheme="minorHAnsi" w:eastAsia="Calibri" w:hAnsiTheme="minorHAnsi" w:cstheme="minorHAnsi"/>
          <w:rtl/>
        </w:rPr>
        <w:t>ב</w:t>
      </w:r>
      <w:r w:rsidR="00193B3E" w:rsidRPr="00E716D0">
        <w:rPr>
          <w:rFonts w:asciiTheme="minorHAnsi" w:eastAsia="Calibri" w:hAnsiTheme="minorHAnsi" w:cstheme="minorHAnsi"/>
          <w:rtl/>
        </w:rPr>
        <w:t>ענף הנדל"ן ו</w:t>
      </w:r>
      <w:r w:rsidR="001A0F3B" w:rsidRPr="00E716D0">
        <w:rPr>
          <w:rFonts w:asciiTheme="minorHAnsi" w:eastAsia="Calibri" w:hAnsiTheme="minorHAnsi" w:cstheme="minorHAnsi"/>
          <w:rtl/>
        </w:rPr>
        <w:t>גידול בו בענף הבינוי ברביע השני</w:t>
      </w:r>
      <w:r w:rsidR="00D8448B" w:rsidRPr="00E716D0">
        <w:rPr>
          <w:rFonts w:asciiTheme="minorHAnsi" w:eastAsia="Calibri" w:hAnsiTheme="minorHAnsi" w:cstheme="minorHAnsi"/>
          <w:rtl/>
        </w:rPr>
        <w:t xml:space="preserve"> של השנה</w:t>
      </w:r>
      <w:r w:rsidR="001A0F3B" w:rsidRPr="00E716D0">
        <w:rPr>
          <w:rFonts w:asciiTheme="minorHAnsi" w:eastAsia="Calibri" w:hAnsiTheme="minorHAnsi" w:cstheme="minorHAnsi"/>
          <w:rtl/>
        </w:rPr>
        <w:t>.</w:t>
      </w:r>
    </w:p>
    <w:p w14:paraId="530EB963" w14:textId="3B51F2DA" w:rsidR="001740B1" w:rsidRPr="00E716D0" w:rsidRDefault="001A0F3B" w:rsidP="00DF00BE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E716D0">
        <w:rPr>
          <w:rFonts w:asciiTheme="minorHAnsi" w:eastAsia="Calibri" w:hAnsiTheme="minorHAnsi" w:cstheme="minorHAnsi"/>
          <w:rtl/>
        </w:rPr>
        <w:t xml:space="preserve">ברביע הראשון </w:t>
      </w:r>
      <w:r w:rsidR="00D8448B" w:rsidRPr="00E716D0">
        <w:rPr>
          <w:rFonts w:asciiTheme="minorHAnsi" w:eastAsia="Calibri" w:hAnsiTheme="minorHAnsi" w:cstheme="minorHAnsi"/>
          <w:rtl/>
        </w:rPr>
        <w:t xml:space="preserve">של 2025 </w:t>
      </w:r>
      <w:r w:rsidRPr="00E716D0">
        <w:rPr>
          <w:rFonts w:asciiTheme="minorHAnsi" w:eastAsia="Calibri" w:hAnsiTheme="minorHAnsi" w:cstheme="minorHAnsi"/>
          <w:rtl/>
        </w:rPr>
        <w:t xml:space="preserve">חלה עלייה </w:t>
      </w:r>
      <w:r w:rsidR="004F235A" w:rsidRPr="00E716D0">
        <w:rPr>
          <w:rFonts w:asciiTheme="minorHAnsi" w:eastAsia="Calibri" w:hAnsiTheme="minorHAnsi" w:cstheme="minorHAnsi"/>
          <w:rtl/>
        </w:rPr>
        <w:t xml:space="preserve">בביקוש </w:t>
      </w:r>
      <w:r w:rsidR="007A7E8C" w:rsidRPr="00E716D0">
        <w:rPr>
          <w:rFonts w:asciiTheme="minorHAnsi" w:eastAsia="Calibri" w:hAnsiTheme="minorHAnsi" w:cstheme="minorHAnsi"/>
          <w:rtl/>
        </w:rPr>
        <w:t>ל</w:t>
      </w:r>
      <w:r w:rsidR="004F235A" w:rsidRPr="00E716D0">
        <w:rPr>
          <w:rFonts w:asciiTheme="minorHAnsi" w:eastAsia="Calibri" w:hAnsiTheme="minorHAnsi" w:cstheme="minorHAnsi"/>
          <w:rtl/>
        </w:rPr>
        <w:t xml:space="preserve">אשראי צרכני </w:t>
      </w:r>
      <w:r w:rsidRPr="00E716D0">
        <w:rPr>
          <w:rFonts w:asciiTheme="minorHAnsi" w:eastAsia="Calibri" w:hAnsiTheme="minorHAnsi" w:cstheme="minorHAnsi"/>
          <w:rtl/>
        </w:rPr>
        <w:t>ואשראי לדיור. צפי להמשך גידול בביקוש לאשראי צרכני והתייצבות בו באשראי לדיור ברביע השני.</w:t>
      </w:r>
    </w:p>
    <w:p w14:paraId="76EAE673" w14:textId="77777777" w:rsidR="00282FC4" w:rsidRPr="00E716D0" w:rsidRDefault="001740B1" w:rsidP="001A0F3B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E716D0">
        <w:rPr>
          <w:rFonts w:asciiTheme="minorHAnsi" w:eastAsia="Calibri" w:hAnsiTheme="minorHAnsi" w:cstheme="minorHAnsi"/>
          <w:rtl/>
        </w:rPr>
        <w:t xml:space="preserve">ברביע הראשון של השנה התגברה ההקשחה במרווחים </w:t>
      </w:r>
      <w:r w:rsidR="001A0F3B" w:rsidRPr="00E716D0">
        <w:rPr>
          <w:rFonts w:asciiTheme="minorHAnsi" w:eastAsia="Calibri" w:hAnsiTheme="minorHAnsi" w:cstheme="minorHAnsi"/>
          <w:rtl/>
        </w:rPr>
        <w:t xml:space="preserve">(עלייה במרווחים) </w:t>
      </w:r>
      <w:r w:rsidRPr="00E716D0">
        <w:rPr>
          <w:rFonts w:asciiTheme="minorHAnsi" w:eastAsia="Calibri" w:hAnsiTheme="minorHAnsi" w:cstheme="minorHAnsi"/>
          <w:rtl/>
        </w:rPr>
        <w:t>באשראי לדיור</w:t>
      </w:r>
      <w:r w:rsidR="002E1598" w:rsidRPr="00E716D0">
        <w:rPr>
          <w:rFonts w:asciiTheme="minorHAnsi" w:eastAsia="Calibri" w:hAnsiTheme="minorHAnsi" w:cstheme="minorHAnsi"/>
          <w:rtl/>
        </w:rPr>
        <w:t xml:space="preserve"> ברמת סיכון גבוהה</w:t>
      </w:r>
      <w:r w:rsidRPr="00E716D0">
        <w:rPr>
          <w:rFonts w:asciiTheme="minorHAnsi" w:eastAsia="Calibri" w:hAnsiTheme="minorHAnsi" w:cstheme="minorHAnsi"/>
          <w:rtl/>
        </w:rPr>
        <w:t xml:space="preserve">. </w:t>
      </w:r>
      <w:r w:rsidR="004F235A" w:rsidRPr="00E716D0">
        <w:rPr>
          <w:rFonts w:asciiTheme="minorHAnsi" w:eastAsia="Calibri" w:hAnsiTheme="minorHAnsi" w:cstheme="minorHAnsi"/>
          <w:rtl/>
        </w:rPr>
        <w:t xml:space="preserve"> </w:t>
      </w:r>
    </w:p>
    <w:p w14:paraId="2C97C1AA" w14:textId="77777777" w:rsidR="00DA6566" w:rsidRPr="00E716D0" w:rsidRDefault="00100E5B" w:rsidP="00282FC4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E716D0">
        <w:rPr>
          <w:rFonts w:asciiTheme="minorHAnsi" w:eastAsia="Calibri" w:hAnsiTheme="minorHAnsi" w:cstheme="minorHAnsi"/>
          <w:rtl/>
        </w:rPr>
        <w:t>נמשכה ה</w:t>
      </w:r>
      <w:r w:rsidR="00DA6566" w:rsidRPr="00E716D0">
        <w:rPr>
          <w:rFonts w:asciiTheme="minorHAnsi" w:eastAsia="Calibri" w:hAnsiTheme="minorHAnsi" w:cstheme="minorHAnsi"/>
          <w:rtl/>
        </w:rPr>
        <w:t>הגמשה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בתנאי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האשראי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ב</w:t>
      </w:r>
      <w:r w:rsidR="00282FC4" w:rsidRPr="00E716D0">
        <w:rPr>
          <w:rFonts w:asciiTheme="minorHAnsi" w:eastAsia="Calibri" w:hAnsiTheme="minorHAnsi" w:cstheme="minorHAnsi"/>
          <w:rtl/>
        </w:rPr>
        <w:t xml:space="preserve">רב </w:t>
      </w:r>
      <w:r w:rsidR="00DA6566" w:rsidRPr="00E716D0">
        <w:rPr>
          <w:rFonts w:asciiTheme="minorHAnsi" w:eastAsia="Calibri" w:hAnsiTheme="minorHAnsi" w:cstheme="minorHAnsi"/>
          <w:rtl/>
        </w:rPr>
        <w:t>המגזרים</w:t>
      </w:r>
      <w:r w:rsidR="00DE40CE" w:rsidRPr="00E716D0">
        <w:rPr>
          <w:rFonts w:asciiTheme="minorHAnsi" w:eastAsia="Calibri" w:hAnsiTheme="minorHAnsi" w:cstheme="minorHAnsi"/>
          <w:rtl/>
        </w:rPr>
        <w:t xml:space="preserve">, 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שהתבטאה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בעיקר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במרווחים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באשראי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הלא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מסוכן</w:t>
      </w:r>
      <w:r w:rsidR="00DE40CE" w:rsidRPr="00E716D0">
        <w:rPr>
          <w:rFonts w:asciiTheme="minorHAnsi" w:eastAsia="Calibri" w:hAnsiTheme="minorHAnsi" w:cstheme="minorHAnsi"/>
          <w:rtl/>
        </w:rPr>
        <w:t>.</w:t>
      </w:r>
    </w:p>
    <w:p w14:paraId="54ED6236" w14:textId="75ACFB07" w:rsidR="00E81196" w:rsidRPr="00E716D0" w:rsidRDefault="00DF00BE" w:rsidP="00B923DC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t xml:space="preserve">לפי המשיבים, </w:t>
      </w:r>
      <w:r w:rsidR="00DA6566" w:rsidRPr="00E716D0">
        <w:rPr>
          <w:rFonts w:asciiTheme="minorHAnsi" w:eastAsia="Calibri" w:hAnsiTheme="minorHAnsi" w:cstheme="minorHAnsi"/>
          <w:rtl/>
        </w:rPr>
        <w:t>התחרות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BD0D89" w:rsidRPr="00E716D0">
        <w:rPr>
          <w:rFonts w:asciiTheme="minorHAnsi" w:eastAsia="Calibri" w:hAnsiTheme="minorHAnsi" w:cstheme="minorHAnsi"/>
          <w:rtl/>
        </w:rPr>
        <w:t>בשוק האשראי ו</w:t>
      </w:r>
      <w:r w:rsidR="00DA6566" w:rsidRPr="00E716D0">
        <w:rPr>
          <w:rFonts w:asciiTheme="minorHAnsi" w:eastAsia="Calibri" w:hAnsiTheme="minorHAnsi" w:cstheme="minorHAnsi"/>
          <w:rtl/>
        </w:rPr>
        <w:t>יחסי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ההון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הגבוהים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ה</w:t>
      </w:r>
      <w:r w:rsidR="00B923DC" w:rsidRPr="00E716D0">
        <w:rPr>
          <w:rFonts w:asciiTheme="minorHAnsi" w:eastAsia="Calibri" w:hAnsiTheme="minorHAnsi" w:cstheme="minorHAnsi"/>
          <w:rtl/>
        </w:rPr>
        <w:t xml:space="preserve">יו </w:t>
      </w:r>
      <w:r w:rsidR="00DA6566" w:rsidRPr="00E716D0">
        <w:rPr>
          <w:rFonts w:asciiTheme="minorHAnsi" w:eastAsia="Calibri" w:hAnsiTheme="minorHAnsi" w:cstheme="minorHAnsi"/>
          <w:rtl/>
        </w:rPr>
        <w:t>הגורמים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העיקריים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להגמשה</w:t>
      </w:r>
      <w:r w:rsidR="00DA6566" w:rsidRPr="00E716D0">
        <w:rPr>
          <w:rFonts w:asciiTheme="minorHAnsi" w:eastAsia="Calibri" w:hAnsiTheme="minorHAnsi" w:cstheme="minorHAnsi"/>
        </w:rPr>
        <w:t xml:space="preserve"> </w:t>
      </w:r>
      <w:r w:rsidR="00DA6566" w:rsidRPr="00E716D0">
        <w:rPr>
          <w:rFonts w:asciiTheme="minorHAnsi" w:eastAsia="Calibri" w:hAnsiTheme="minorHAnsi" w:cstheme="minorHAnsi"/>
          <w:rtl/>
        </w:rPr>
        <w:t>במרווחים</w:t>
      </w:r>
      <w:r w:rsidR="00DE40CE" w:rsidRPr="00E716D0">
        <w:rPr>
          <w:rFonts w:asciiTheme="minorHAnsi" w:eastAsia="Calibri" w:hAnsiTheme="minorHAnsi" w:cstheme="minorHAnsi"/>
          <w:rtl/>
        </w:rPr>
        <w:t>.</w:t>
      </w:r>
    </w:p>
    <w:p w14:paraId="31DD8816" w14:textId="77777777" w:rsidR="0019280F" w:rsidRPr="00E716D0" w:rsidRDefault="0019280F" w:rsidP="005D18D0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1ABA7EFF" w14:textId="77777777" w:rsidR="001F42B8" w:rsidRPr="00E716D0" w:rsidRDefault="001F42B8" w:rsidP="0019280F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t>א. ביקוש לאשראי</w:t>
      </w:r>
    </w:p>
    <w:p w14:paraId="755B8468" w14:textId="3AFAF01D" w:rsidR="00E716D0" w:rsidRDefault="00E31EAB" w:rsidP="00E716D0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t xml:space="preserve">הביקוש לאשראי </w:t>
      </w:r>
      <w:r w:rsidR="008F5A34" w:rsidRPr="00E716D0">
        <w:rPr>
          <w:rFonts w:asciiTheme="minorHAnsi" w:eastAsia="Calibri" w:hAnsiTheme="minorHAnsi" w:cstheme="minorHAnsi"/>
          <w:rtl/>
        </w:rPr>
        <w:t xml:space="preserve">צרכני ואשראי לדיור עלו </w:t>
      </w:r>
      <w:r w:rsidRPr="00E716D0">
        <w:rPr>
          <w:rFonts w:asciiTheme="minorHAnsi" w:eastAsia="Calibri" w:hAnsiTheme="minorHAnsi" w:cstheme="minorHAnsi"/>
          <w:rtl/>
        </w:rPr>
        <w:t>ברביע ה</w:t>
      </w:r>
      <w:r w:rsidR="008F5A34" w:rsidRPr="00E716D0">
        <w:rPr>
          <w:rFonts w:asciiTheme="minorHAnsi" w:eastAsia="Calibri" w:hAnsiTheme="minorHAnsi" w:cstheme="minorHAnsi"/>
          <w:rtl/>
        </w:rPr>
        <w:t xml:space="preserve">ראשון של 2025 והצפי </w:t>
      </w:r>
      <w:r w:rsidR="0035729F" w:rsidRPr="00E716D0">
        <w:rPr>
          <w:rFonts w:asciiTheme="minorHAnsi" w:eastAsia="Calibri" w:hAnsiTheme="minorHAnsi" w:cstheme="minorHAnsi"/>
          <w:rtl/>
        </w:rPr>
        <w:t xml:space="preserve">לרביע הבא </w:t>
      </w:r>
      <w:r w:rsidR="008F5A34" w:rsidRPr="00E716D0">
        <w:rPr>
          <w:rFonts w:asciiTheme="minorHAnsi" w:eastAsia="Calibri" w:hAnsiTheme="minorHAnsi" w:cstheme="minorHAnsi"/>
          <w:rtl/>
        </w:rPr>
        <w:t>הוא להמשך גידול</w:t>
      </w:r>
      <w:r w:rsidRPr="00E716D0">
        <w:rPr>
          <w:rFonts w:asciiTheme="minorHAnsi" w:eastAsia="Calibri" w:hAnsiTheme="minorHAnsi" w:cstheme="minorHAnsi"/>
          <w:rtl/>
        </w:rPr>
        <w:t xml:space="preserve"> </w:t>
      </w:r>
      <w:r w:rsidR="0035729F" w:rsidRPr="00E716D0">
        <w:rPr>
          <w:rFonts w:asciiTheme="minorHAnsi" w:eastAsia="Calibri" w:hAnsiTheme="minorHAnsi" w:cstheme="minorHAnsi"/>
          <w:rtl/>
        </w:rPr>
        <w:t>ב</w:t>
      </w:r>
      <w:r w:rsidRPr="00E716D0">
        <w:rPr>
          <w:rFonts w:asciiTheme="minorHAnsi" w:eastAsia="Calibri" w:hAnsiTheme="minorHAnsi" w:cstheme="minorHAnsi"/>
          <w:rtl/>
        </w:rPr>
        <w:t xml:space="preserve">ביקוש לאשראי צרכני </w:t>
      </w:r>
      <w:r w:rsidR="0035729F" w:rsidRPr="00E716D0">
        <w:rPr>
          <w:rFonts w:asciiTheme="minorHAnsi" w:eastAsia="Calibri" w:hAnsiTheme="minorHAnsi" w:cstheme="minorHAnsi"/>
          <w:rtl/>
        </w:rPr>
        <w:t>והתייצבות בביקוש לאשראי לדיור.</w:t>
      </w:r>
      <w:r w:rsidRPr="00E716D0">
        <w:rPr>
          <w:rFonts w:asciiTheme="minorHAnsi" w:eastAsia="Calibri" w:hAnsiTheme="minorHAnsi" w:cstheme="minorHAnsi"/>
          <w:rtl/>
        </w:rPr>
        <w:t xml:space="preserve"> במגזר </w:t>
      </w:r>
      <w:r w:rsidR="00DA2A0B" w:rsidRPr="00E716D0">
        <w:rPr>
          <w:rFonts w:asciiTheme="minorHAnsi" w:eastAsia="Calibri" w:hAnsiTheme="minorHAnsi" w:cstheme="minorHAnsi"/>
          <w:rtl/>
        </w:rPr>
        <w:t>העסקי</w:t>
      </w:r>
      <w:r w:rsidRPr="00E716D0">
        <w:rPr>
          <w:rFonts w:asciiTheme="minorHAnsi" w:eastAsia="Calibri" w:hAnsiTheme="minorHAnsi" w:cstheme="minorHAnsi"/>
          <w:rtl/>
        </w:rPr>
        <w:t xml:space="preserve"> </w:t>
      </w:r>
      <w:r w:rsidR="00DA2A0B" w:rsidRPr="00E716D0">
        <w:rPr>
          <w:rFonts w:asciiTheme="minorHAnsi" w:eastAsia="Calibri" w:hAnsiTheme="minorHAnsi" w:cstheme="minorHAnsi"/>
          <w:rtl/>
        </w:rPr>
        <w:t xml:space="preserve">חלה </w:t>
      </w:r>
      <w:r w:rsidR="00D869F0" w:rsidRPr="00E716D0">
        <w:rPr>
          <w:rFonts w:asciiTheme="minorHAnsi" w:eastAsia="Calibri" w:hAnsiTheme="minorHAnsi" w:cstheme="minorHAnsi"/>
          <w:rtl/>
        </w:rPr>
        <w:t>התמת</w:t>
      </w:r>
      <w:r w:rsidR="00DA2A0B" w:rsidRPr="00E716D0">
        <w:rPr>
          <w:rFonts w:asciiTheme="minorHAnsi" w:eastAsia="Calibri" w:hAnsiTheme="minorHAnsi" w:cstheme="minorHAnsi"/>
          <w:rtl/>
        </w:rPr>
        <w:t>נות ב</w:t>
      </w:r>
      <w:r w:rsidR="00D869F0" w:rsidRPr="00E716D0">
        <w:rPr>
          <w:rFonts w:asciiTheme="minorHAnsi" w:eastAsia="Calibri" w:hAnsiTheme="minorHAnsi" w:cstheme="minorHAnsi"/>
          <w:rtl/>
        </w:rPr>
        <w:t>גידול ב</w:t>
      </w:r>
      <w:r w:rsidRPr="00E716D0">
        <w:rPr>
          <w:rFonts w:asciiTheme="minorHAnsi" w:eastAsia="Calibri" w:hAnsiTheme="minorHAnsi" w:cstheme="minorHAnsi"/>
          <w:rtl/>
        </w:rPr>
        <w:t xml:space="preserve">ביקוש לאשראי </w:t>
      </w:r>
      <w:r w:rsidR="00D869F0" w:rsidRPr="00E716D0">
        <w:rPr>
          <w:rFonts w:asciiTheme="minorHAnsi" w:eastAsia="Calibri" w:hAnsiTheme="minorHAnsi" w:cstheme="minorHAnsi"/>
          <w:rtl/>
        </w:rPr>
        <w:t xml:space="preserve">של </w:t>
      </w:r>
      <w:r w:rsidRPr="00E716D0">
        <w:rPr>
          <w:rFonts w:asciiTheme="minorHAnsi" w:eastAsia="Calibri" w:hAnsiTheme="minorHAnsi" w:cstheme="minorHAnsi"/>
          <w:rtl/>
        </w:rPr>
        <w:t>עסקים קטנים וזעירים ו</w:t>
      </w:r>
      <w:r w:rsidR="00D869F0" w:rsidRPr="00E716D0">
        <w:rPr>
          <w:rFonts w:asciiTheme="minorHAnsi" w:eastAsia="Calibri" w:hAnsiTheme="minorHAnsi" w:cstheme="minorHAnsi"/>
          <w:rtl/>
        </w:rPr>
        <w:t xml:space="preserve">הבנקים צופים </w:t>
      </w:r>
      <w:r w:rsidR="00DA2A0B" w:rsidRPr="00E716D0">
        <w:rPr>
          <w:rFonts w:asciiTheme="minorHAnsi" w:eastAsia="Calibri" w:hAnsiTheme="minorHAnsi" w:cstheme="minorHAnsi"/>
          <w:rtl/>
        </w:rPr>
        <w:t>חזרה ל</w:t>
      </w:r>
      <w:r w:rsidRPr="00E716D0">
        <w:rPr>
          <w:rFonts w:asciiTheme="minorHAnsi" w:eastAsia="Calibri" w:hAnsiTheme="minorHAnsi" w:cstheme="minorHAnsi"/>
          <w:rtl/>
        </w:rPr>
        <w:t xml:space="preserve">גידול </w:t>
      </w:r>
      <w:r w:rsidR="00DA2A0B" w:rsidRPr="00E716D0">
        <w:rPr>
          <w:rFonts w:asciiTheme="minorHAnsi" w:eastAsia="Calibri" w:hAnsiTheme="minorHAnsi" w:cstheme="minorHAnsi"/>
          <w:rtl/>
        </w:rPr>
        <w:t xml:space="preserve">בו ברביע הבא. הבנקים צופים </w:t>
      </w:r>
      <w:r w:rsidR="00CB714F" w:rsidRPr="00E716D0">
        <w:rPr>
          <w:rFonts w:asciiTheme="minorHAnsi" w:eastAsia="Calibri" w:hAnsiTheme="minorHAnsi" w:cstheme="minorHAnsi"/>
          <w:rtl/>
        </w:rPr>
        <w:t>המשך גידול בביקוש לאשראי בענף הבינוי ו</w:t>
      </w:r>
      <w:r w:rsidR="00E06C7B" w:rsidRPr="00E716D0">
        <w:rPr>
          <w:rFonts w:asciiTheme="minorHAnsi" w:eastAsia="Calibri" w:hAnsiTheme="minorHAnsi" w:cstheme="minorHAnsi"/>
          <w:rtl/>
        </w:rPr>
        <w:t xml:space="preserve">ירידה </w:t>
      </w:r>
      <w:r w:rsidR="00CB714F" w:rsidRPr="00E716D0">
        <w:rPr>
          <w:rFonts w:asciiTheme="minorHAnsi" w:eastAsia="Calibri" w:hAnsiTheme="minorHAnsi" w:cstheme="minorHAnsi"/>
          <w:rtl/>
        </w:rPr>
        <w:t>בו</w:t>
      </w:r>
      <w:r w:rsidR="00E06C7B" w:rsidRPr="00E716D0">
        <w:rPr>
          <w:rFonts w:asciiTheme="minorHAnsi" w:eastAsia="Calibri" w:hAnsiTheme="minorHAnsi" w:cstheme="minorHAnsi"/>
          <w:rtl/>
        </w:rPr>
        <w:t xml:space="preserve"> בענף הנדל"ן</w:t>
      </w:r>
      <w:r w:rsidR="00CB714F" w:rsidRPr="00E716D0">
        <w:rPr>
          <w:rStyle w:val="FootnoteReference"/>
          <w:rFonts w:asciiTheme="minorHAnsi" w:eastAsia="Calibri" w:hAnsiTheme="minorHAnsi" w:cstheme="minorHAnsi"/>
          <w:rtl/>
        </w:rPr>
        <w:footnoteReference w:id="2"/>
      </w:r>
      <w:r w:rsidR="00E06C7B" w:rsidRPr="00E716D0">
        <w:rPr>
          <w:rFonts w:asciiTheme="minorHAnsi" w:eastAsia="Calibri" w:hAnsiTheme="minorHAnsi" w:cstheme="minorHAnsi"/>
          <w:rtl/>
        </w:rPr>
        <w:t xml:space="preserve"> </w:t>
      </w:r>
      <w:r w:rsidR="00056C1E" w:rsidRPr="00E716D0">
        <w:rPr>
          <w:rFonts w:asciiTheme="minorHAnsi" w:eastAsia="Calibri" w:hAnsiTheme="minorHAnsi" w:cstheme="minorHAnsi"/>
          <w:rtl/>
        </w:rPr>
        <w:t>ברביע ה</w:t>
      </w:r>
      <w:r w:rsidR="00CD03B2" w:rsidRPr="00E716D0">
        <w:rPr>
          <w:rFonts w:asciiTheme="minorHAnsi" w:eastAsia="Calibri" w:hAnsiTheme="minorHAnsi" w:cstheme="minorHAnsi"/>
          <w:rtl/>
        </w:rPr>
        <w:t>שני</w:t>
      </w:r>
      <w:r w:rsidR="00D869F0" w:rsidRPr="00E716D0">
        <w:rPr>
          <w:rFonts w:asciiTheme="minorHAnsi" w:eastAsia="Calibri" w:hAnsiTheme="minorHAnsi" w:cstheme="minorHAnsi"/>
          <w:rtl/>
        </w:rPr>
        <w:t xml:space="preserve"> </w:t>
      </w:r>
      <w:r w:rsidRPr="00E716D0">
        <w:rPr>
          <w:rFonts w:asciiTheme="minorHAnsi" w:eastAsia="Calibri" w:hAnsiTheme="minorHAnsi" w:cstheme="minorHAnsi"/>
          <w:rtl/>
        </w:rPr>
        <w:t>(תרשים 1).</w:t>
      </w:r>
    </w:p>
    <w:p w14:paraId="1FAF320A" w14:textId="77777777" w:rsidR="00E716D0" w:rsidRPr="00E716D0" w:rsidRDefault="00E716D0" w:rsidP="00E716D0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lastRenderedPageBreak/>
        <w:t xml:space="preserve">תרשים 1. מאזני נטו* של השינוי בביקוש לאשראי (נתוני הצפי בקו מקווקו) </w:t>
      </w:r>
    </w:p>
    <w:p w14:paraId="6399DEF3" w14:textId="38EABBEC" w:rsidR="00E716D0" w:rsidRDefault="00E716D0" w:rsidP="00E716D0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noProof/>
          <w:rtl/>
        </w:rPr>
        <w:drawing>
          <wp:anchor distT="0" distB="0" distL="114300" distR="114300" simplePos="0" relativeHeight="251666432" behindDoc="1" locked="0" layoutInCell="1" allowOverlap="1" wp14:anchorId="49E0DCC8" wp14:editId="2038229B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4631359" cy="2997642"/>
            <wp:effectExtent l="0" t="0" r="17145" b="1270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6637C" w14:textId="56273360" w:rsidR="005C0D99" w:rsidRPr="00E716D0" w:rsidRDefault="005C0D99" w:rsidP="00D34346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t xml:space="preserve"> </w:t>
      </w:r>
    </w:p>
    <w:p w14:paraId="47714D46" w14:textId="77777777" w:rsidR="00C5486D" w:rsidRPr="00E716D0" w:rsidRDefault="00C5486D" w:rsidP="00B8708C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368882C6" w14:textId="77777777" w:rsidR="00C5486D" w:rsidRPr="00E716D0" w:rsidRDefault="00C5486D" w:rsidP="00E716D0">
      <w:pPr>
        <w:pStyle w:val="NormalWeb"/>
        <w:bidi/>
        <w:ind w:firstLine="720"/>
        <w:rPr>
          <w:rFonts w:asciiTheme="minorHAnsi" w:eastAsia="Calibri" w:hAnsiTheme="minorHAnsi" w:cstheme="minorHAnsi"/>
          <w:rtl/>
        </w:rPr>
      </w:pPr>
    </w:p>
    <w:p w14:paraId="5FDC01BD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0658B6B1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0EA601D0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4D318607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231C9C4C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1B7DED6D" w14:textId="154F5384" w:rsidR="00C5486D" w:rsidRPr="00E716D0" w:rsidRDefault="005B7915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noProof/>
          <w:rtl/>
        </w:rPr>
        <w:drawing>
          <wp:anchor distT="0" distB="0" distL="114300" distR="114300" simplePos="0" relativeHeight="251667456" behindDoc="1" locked="0" layoutInCell="1" allowOverlap="1" wp14:anchorId="7A603C00" wp14:editId="2FC0062E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4664351" cy="3538330"/>
            <wp:effectExtent l="0" t="0" r="3175" b="508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1C663" w14:textId="3CBDB1F8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797B5B21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731B8BB8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66CC6B7C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1A525944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3856CBD4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5D93BAF9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3F3571C3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1D0DE16B" w14:textId="77777777" w:rsidR="00C5486D" w:rsidRPr="00E716D0" w:rsidRDefault="00C5486D" w:rsidP="00C5486D">
      <w:pPr>
        <w:pStyle w:val="NormalWeb"/>
        <w:bidi/>
        <w:rPr>
          <w:rFonts w:asciiTheme="minorHAnsi" w:eastAsia="Calibri" w:hAnsiTheme="minorHAnsi" w:cstheme="minorHAnsi"/>
          <w:rtl/>
        </w:rPr>
      </w:pPr>
    </w:p>
    <w:p w14:paraId="7993571F" w14:textId="514D1A8C" w:rsidR="002B7360" w:rsidRPr="00E716D0" w:rsidRDefault="00536101" w:rsidP="00C5486D">
      <w:pPr>
        <w:pStyle w:val="NormalWeb"/>
        <w:bidi/>
        <w:rPr>
          <w:rFonts w:asciiTheme="minorHAnsi" w:eastAsia="Calibri" w:hAnsiTheme="minorHAnsi" w:cstheme="minorHAnsi"/>
        </w:rPr>
      </w:pPr>
      <w:r w:rsidRPr="00E716D0">
        <w:rPr>
          <w:rFonts w:asciiTheme="minorHAnsi" w:eastAsia="Calibri" w:hAnsiTheme="minorHAnsi" w:cstheme="minorHAnsi"/>
          <w:rtl/>
        </w:rPr>
        <w:t>* ערך חיובי מתאר גידול בביקוש לאשראי ולהיפך</w:t>
      </w:r>
    </w:p>
    <w:p w14:paraId="2482409E" w14:textId="77777777" w:rsidR="003D7E8E" w:rsidRPr="00E716D0" w:rsidRDefault="00536101" w:rsidP="003D2919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lastRenderedPageBreak/>
        <w:t xml:space="preserve"> </w:t>
      </w:r>
    </w:p>
    <w:p w14:paraId="33F5A6B8" w14:textId="77777777" w:rsidR="002B7360" w:rsidRPr="00E716D0" w:rsidRDefault="007D08F5" w:rsidP="0008332E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E716D0">
        <w:rPr>
          <w:rFonts w:asciiTheme="minorHAnsi" w:eastAsia="Calibri" w:hAnsiTheme="minorHAnsi" w:cstheme="minorHAnsi"/>
          <w:rtl/>
        </w:rPr>
        <w:t xml:space="preserve">מבחינת ההשפעה של גורמים </w:t>
      </w:r>
      <w:r w:rsidR="00800697" w:rsidRPr="00E716D0">
        <w:rPr>
          <w:rFonts w:asciiTheme="minorHAnsi" w:eastAsia="Calibri" w:hAnsiTheme="minorHAnsi" w:cstheme="minorHAnsi"/>
          <w:rtl/>
        </w:rPr>
        <w:t xml:space="preserve">שונים </w:t>
      </w:r>
      <w:r w:rsidRPr="00E716D0">
        <w:rPr>
          <w:rFonts w:asciiTheme="minorHAnsi" w:eastAsia="Calibri" w:hAnsiTheme="minorHAnsi" w:cstheme="minorHAnsi"/>
          <w:rtl/>
        </w:rPr>
        <w:t>על הביקוש לאשראי נראה שגידול מלאי והון חוזר</w:t>
      </w:r>
      <w:r w:rsidR="0008332E" w:rsidRPr="00E716D0">
        <w:rPr>
          <w:rFonts w:asciiTheme="minorHAnsi" w:eastAsia="Calibri" w:hAnsiTheme="minorHAnsi" w:cstheme="minorHAnsi"/>
          <w:rtl/>
        </w:rPr>
        <w:t xml:space="preserve">, כלומר בעיית תזרים לעסק, </w:t>
      </w:r>
      <w:r w:rsidR="002C2C8B" w:rsidRPr="00E716D0">
        <w:rPr>
          <w:rFonts w:asciiTheme="minorHAnsi" w:eastAsia="Calibri" w:hAnsiTheme="minorHAnsi" w:cstheme="minorHAnsi"/>
          <w:rtl/>
        </w:rPr>
        <w:t xml:space="preserve">מוסיף להיות </w:t>
      </w:r>
      <w:r w:rsidRPr="00E716D0">
        <w:rPr>
          <w:rFonts w:asciiTheme="minorHAnsi" w:eastAsia="Calibri" w:hAnsiTheme="minorHAnsi" w:cstheme="minorHAnsi"/>
          <w:rtl/>
        </w:rPr>
        <w:t>הגורם העיקרי לגידול בביקוש לאשראי של עסקים קטנים וזעירים</w:t>
      </w:r>
      <w:r w:rsidR="003D2919" w:rsidRPr="00E716D0">
        <w:rPr>
          <w:rFonts w:asciiTheme="minorHAnsi" w:eastAsia="Calibri" w:hAnsiTheme="minorHAnsi" w:cstheme="minorHAnsi"/>
          <w:rtl/>
        </w:rPr>
        <w:t>, ו</w:t>
      </w:r>
      <w:r w:rsidRPr="00E716D0">
        <w:rPr>
          <w:rFonts w:asciiTheme="minorHAnsi" w:eastAsia="Calibri" w:hAnsiTheme="minorHAnsi" w:cstheme="minorHAnsi"/>
          <w:rtl/>
        </w:rPr>
        <w:t>בענף הבינוי הגורם העיקרי לגידול בביקוש לאשראי היה מימון פרויקטים בליווי סגור</w:t>
      </w:r>
      <w:r w:rsidR="008876E3" w:rsidRPr="00E716D0">
        <w:rPr>
          <w:rFonts w:asciiTheme="minorHAnsi" w:eastAsia="Calibri" w:hAnsiTheme="minorHAnsi" w:cstheme="minorHAnsi"/>
          <w:rtl/>
        </w:rPr>
        <w:t xml:space="preserve"> (תרשים 2).</w:t>
      </w:r>
    </w:p>
    <w:p w14:paraId="7209B8F5" w14:textId="77777777" w:rsidR="00162DF4" w:rsidRPr="00E716D0" w:rsidRDefault="00162DF4" w:rsidP="002B7360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t>תרשים 2. מאזני נטו</w:t>
      </w:r>
      <w:r w:rsidR="003578FC" w:rsidRPr="00E716D0">
        <w:rPr>
          <w:rFonts w:asciiTheme="minorHAnsi" w:eastAsia="Calibri" w:hAnsiTheme="minorHAnsi" w:cstheme="minorHAnsi"/>
          <w:rtl/>
        </w:rPr>
        <w:t>*</w:t>
      </w:r>
      <w:r w:rsidRPr="00E716D0">
        <w:rPr>
          <w:rFonts w:asciiTheme="minorHAnsi" w:eastAsia="Calibri" w:hAnsiTheme="minorHAnsi" w:cstheme="minorHAnsi"/>
          <w:rtl/>
        </w:rPr>
        <w:t xml:space="preserve"> של השינוי בהשפעתם של גורמים שונים על הביקוש לאשראי</w:t>
      </w:r>
    </w:p>
    <w:p w14:paraId="7A098038" w14:textId="233FD206" w:rsidR="003D2919" w:rsidRPr="00E716D0" w:rsidRDefault="00C5486D" w:rsidP="003D2919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1" locked="0" layoutInCell="1" allowOverlap="1" wp14:anchorId="6268F470" wp14:editId="7C893278">
            <wp:simplePos x="0" y="0"/>
            <wp:positionH relativeFrom="margin">
              <wp:posOffset>513080</wp:posOffset>
            </wp:positionH>
            <wp:positionV relativeFrom="paragraph">
              <wp:posOffset>-635</wp:posOffset>
            </wp:positionV>
            <wp:extent cx="4761644" cy="3498574"/>
            <wp:effectExtent l="0" t="0" r="1270" b="6985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919" w:rsidRPr="00E716D0">
        <w:rPr>
          <w:rFonts w:asciiTheme="minorHAnsi" w:hAnsiTheme="minorHAnsi" w:cstheme="minorHAnsi"/>
          <w:noProof/>
        </w:rPr>
        <w:t xml:space="preserve"> </w:t>
      </w:r>
    </w:p>
    <w:p w14:paraId="5988CFDD" w14:textId="2B970C79" w:rsidR="003D2919" w:rsidRPr="00E716D0" w:rsidRDefault="003D2919" w:rsidP="003D2919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5CC63674" w14:textId="6B5AD681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16E3FD30" w14:textId="4374EAB0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775C2A04" w14:textId="25C4D19E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0AAA5F1C" w14:textId="450F7E4D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5F095E9E" w14:textId="30F88ADB" w:rsidR="00E716D0" w:rsidRDefault="00E716D0" w:rsidP="00E716D0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49F3B199" w14:textId="24F123B5" w:rsidR="007E7483" w:rsidRDefault="007E7483" w:rsidP="007E7483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51F3AA86" w14:textId="0BE1B35F" w:rsidR="007E7483" w:rsidRDefault="007E7483" w:rsidP="007E7483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6CAAEB12" w14:textId="74090E24" w:rsidR="007E7483" w:rsidRDefault="007E7483" w:rsidP="007E7483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1A707DFB" w14:textId="689DC63F" w:rsidR="007E7483" w:rsidRDefault="007E7483" w:rsidP="007E7483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07CB4458" w14:textId="1C099533" w:rsidR="007E7483" w:rsidRDefault="007E7483" w:rsidP="007E7483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36AD85F7" w14:textId="39F936AA" w:rsidR="007E7483" w:rsidRDefault="007E7483" w:rsidP="007E7483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28B2DABF" w14:textId="707E93B2" w:rsidR="007E7483" w:rsidRDefault="007E7483" w:rsidP="007E7483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4B9F8410" w14:textId="419A452F" w:rsidR="007E7483" w:rsidRPr="00E716D0" w:rsidRDefault="007E7483" w:rsidP="007E7483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7C4C1A93" w14:textId="4840DE79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  <w:r w:rsidRPr="00E716D0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7BA39C9F" wp14:editId="029DD88C">
            <wp:simplePos x="0" y="0"/>
            <wp:positionH relativeFrom="margin">
              <wp:align>right</wp:align>
            </wp:positionH>
            <wp:positionV relativeFrom="paragraph">
              <wp:posOffset>142488</wp:posOffset>
            </wp:positionV>
            <wp:extent cx="4777574" cy="3562184"/>
            <wp:effectExtent l="0" t="0" r="4445" b="635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FB678" w14:textId="12AA94EE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430ED686" w14:textId="77777777" w:rsidR="00C5486D" w:rsidRPr="00E716D0" w:rsidRDefault="00C5486D" w:rsidP="00D92A93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51FB33E2" w14:textId="77777777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49AE5B4D" w14:textId="77777777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0A0504C8" w14:textId="77777777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5CB0ED84" w14:textId="77777777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062DD6AA" w14:textId="77777777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7DA2EE35" w14:textId="77777777" w:rsidR="00C5486D" w:rsidRPr="00E716D0" w:rsidRDefault="00C5486D" w:rsidP="00C5486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57CB0469" w14:textId="7B768E00" w:rsidR="003F74BB" w:rsidRPr="00E716D0" w:rsidRDefault="003578FC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t xml:space="preserve"> * ערך חיוב</w:t>
      </w:r>
      <w:r w:rsidR="00B1613B" w:rsidRPr="00E716D0">
        <w:rPr>
          <w:rFonts w:asciiTheme="minorHAnsi" w:eastAsia="Calibri" w:hAnsiTheme="minorHAnsi" w:cstheme="minorHAnsi"/>
          <w:rtl/>
        </w:rPr>
        <w:t>י מתאר תרומה לעליה בביקוש ולהיפך</w:t>
      </w:r>
    </w:p>
    <w:p w14:paraId="22751719" w14:textId="77777777" w:rsidR="008876E3" w:rsidRPr="00E716D0" w:rsidRDefault="008876E3" w:rsidP="003F74B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t>ב. היצע האשראי</w:t>
      </w:r>
    </w:p>
    <w:p w14:paraId="0103E397" w14:textId="77777777" w:rsidR="00D70679" w:rsidRPr="00E716D0" w:rsidRDefault="008876E3" w:rsidP="0037416E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t xml:space="preserve">ההגמשה בתנאי האשראי נמשכה </w:t>
      </w:r>
      <w:r w:rsidR="00C702AC" w:rsidRPr="00E716D0">
        <w:rPr>
          <w:rFonts w:asciiTheme="minorHAnsi" w:eastAsia="Calibri" w:hAnsiTheme="minorHAnsi" w:cstheme="minorHAnsi"/>
          <w:rtl/>
        </w:rPr>
        <w:t xml:space="preserve">ברביע הראשון של השנה </w:t>
      </w:r>
      <w:r w:rsidRPr="00E716D0">
        <w:rPr>
          <w:rFonts w:asciiTheme="minorHAnsi" w:eastAsia="Calibri" w:hAnsiTheme="minorHAnsi" w:cstheme="minorHAnsi"/>
          <w:rtl/>
        </w:rPr>
        <w:t>ב</w:t>
      </w:r>
      <w:r w:rsidR="00C702AC" w:rsidRPr="00E716D0">
        <w:rPr>
          <w:rFonts w:asciiTheme="minorHAnsi" w:eastAsia="Calibri" w:hAnsiTheme="minorHAnsi" w:cstheme="minorHAnsi"/>
          <w:rtl/>
        </w:rPr>
        <w:t xml:space="preserve">רב </w:t>
      </w:r>
      <w:r w:rsidR="0037416E" w:rsidRPr="00E716D0">
        <w:rPr>
          <w:rFonts w:asciiTheme="minorHAnsi" w:eastAsia="Calibri" w:hAnsiTheme="minorHAnsi" w:cstheme="minorHAnsi"/>
          <w:rtl/>
        </w:rPr>
        <w:t>מגזרי האשראי</w:t>
      </w:r>
      <w:r w:rsidRPr="00E716D0">
        <w:rPr>
          <w:rFonts w:asciiTheme="minorHAnsi" w:eastAsia="Calibri" w:hAnsiTheme="minorHAnsi" w:cstheme="minorHAnsi"/>
          <w:rtl/>
        </w:rPr>
        <w:t xml:space="preserve"> והתבטאה בעיקר במרווחי האשראי ברמת סיכון בינונית</w:t>
      </w:r>
      <w:r w:rsidR="0037416E" w:rsidRPr="00E716D0">
        <w:rPr>
          <w:rFonts w:asciiTheme="minorHAnsi" w:eastAsia="Calibri" w:hAnsiTheme="minorHAnsi" w:cstheme="minorHAnsi"/>
          <w:rtl/>
        </w:rPr>
        <w:t>.</w:t>
      </w:r>
      <w:r w:rsidR="00C702AC" w:rsidRPr="00E716D0">
        <w:rPr>
          <w:rFonts w:asciiTheme="minorHAnsi" w:eastAsia="Calibri" w:hAnsiTheme="minorHAnsi" w:cstheme="minorHAnsi"/>
          <w:rtl/>
        </w:rPr>
        <w:t xml:space="preserve"> בצד זאת, ניכרת הקשחה במרווחי האשראי לדיור ברמת סיכון גבוהה</w:t>
      </w:r>
      <w:r w:rsidR="0037416E" w:rsidRPr="00E716D0">
        <w:rPr>
          <w:rFonts w:asciiTheme="minorHAnsi" w:eastAsia="Calibri" w:hAnsiTheme="minorHAnsi" w:cstheme="minorHAnsi"/>
          <w:rtl/>
        </w:rPr>
        <w:t xml:space="preserve"> (תרשים 3). </w:t>
      </w:r>
      <w:r w:rsidR="00C702AC" w:rsidRPr="00E716D0">
        <w:rPr>
          <w:rFonts w:asciiTheme="minorHAnsi" w:eastAsia="Calibri" w:hAnsiTheme="minorHAnsi" w:cstheme="minorHAnsi"/>
          <w:rtl/>
        </w:rPr>
        <w:t xml:space="preserve">   </w:t>
      </w:r>
      <w:r w:rsidR="00167E6E" w:rsidRPr="00E716D0">
        <w:rPr>
          <w:rFonts w:asciiTheme="minorHAnsi" w:eastAsia="Calibri" w:hAnsiTheme="minorHAnsi" w:cstheme="minorHAnsi"/>
          <w:rtl/>
        </w:rPr>
        <w:t xml:space="preserve"> </w:t>
      </w:r>
    </w:p>
    <w:p w14:paraId="12058238" w14:textId="77777777" w:rsidR="00E716D0" w:rsidRDefault="00E716D0" w:rsidP="00824C84">
      <w:pPr>
        <w:pStyle w:val="NormalWeb"/>
        <w:bidi/>
        <w:jc w:val="both"/>
        <w:rPr>
          <w:rFonts w:asciiTheme="minorHAnsi" w:eastAsia="Calibri" w:hAnsiTheme="minorHAnsi" w:cstheme="minorHAnsi"/>
        </w:rPr>
      </w:pPr>
    </w:p>
    <w:p w14:paraId="48225BBF" w14:textId="77777777" w:rsidR="00E716D0" w:rsidRDefault="00E716D0" w:rsidP="00E716D0">
      <w:pPr>
        <w:pStyle w:val="NormalWeb"/>
        <w:bidi/>
        <w:jc w:val="both"/>
        <w:rPr>
          <w:rFonts w:asciiTheme="minorHAnsi" w:eastAsia="Calibri" w:hAnsiTheme="minorHAnsi" w:cstheme="minorHAnsi"/>
        </w:rPr>
      </w:pPr>
    </w:p>
    <w:p w14:paraId="06112D13" w14:textId="77777777" w:rsidR="00E716D0" w:rsidRDefault="00E716D0" w:rsidP="00E716D0">
      <w:pPr>
        <w:pStyle w:val="NormalWeb"/>
        <w:bidi/>
        <w:jc w:val="both"/>
        <w:rPr>
          <w:rFonts w:asciiTheme="minorHAnsi" w:eastAsia="Calibri" w:hAnsiTheme="minorHAnsi" w:cstheme="minorHAnsi"/>
        </w:rPr>
      </w:pPr>
    </w:p>
    <w:p w14:paraId="42CB9115" w14:textId="77777777" w:rsidR="00E716D0" w:rsidRDefault="00E716D0" w:rsidP="00E716D0">
      <w:pPr>
        <w:pStyle w:val="NormalWeb"/>
        <w:bidi/>
        <w:jc w:val="both"/>
        <w:rPr>
          <w:rFonts w:asciiTheme="minorHAnsi" w:eastAsia="Calibri" w:hAnsiTheme="minorHAnsi" w:cstheme="minorHAnsi"/>
        </w:rPr>
      </w:pPr>
    </w:p>
    <w:p w14:paraId="3C4DF662" w14:textId="77777777" w:rsidR="00E716D0" w:rsidRDefault="00E716D0" w:rsidP="00E716D0">
      <w:pPr>
        <w:pStyle w:val="NormalWeb"/>
        <w:bidi/>
        <w:jc w:val="both"/>
        <w:rPr>
          <w:rFonts w:asciiTheme="minorHAnsi" w:eastAsia="Calibri" w:hAnsiTheme="minorHAnsi" w:cstheme="minorHAnsi"/>
        </w:rPr>
      </w:pPr>
    </w:p>
    <w:p w14:paraId="7E09178B" w14:textId="77777777" w:rsidR="00E716D0" w:rsidRDefault="00E716D0" w:rsidP="00E716D0">
      <w:pPr>
        <w:pStyle w:val="NormalWeb"/>
        <w:bidi/>
        <w:jc w:val="both"/>
        <w:rPr>
          <w:rFonts w:asciiTheme="minorHAnsi" w:eastAsia="Calibri" w:hAnsiTheme="minorHAnsi" w:cstheme="minorHAnsi"/>
        </w:rPr>
      </w:pPr>
    </w:p>
    <w:p w14:paraId="515AE883" w14:textId="77777777" w:rsidR="00E716D0" w:rsidRDefault="00E716D0" w:rsidP="00E716D0">
      <w:pPr>
        <w:pStyle w:val="NormalWeb"/>
        <w:bidi/>
        <w:jc w:val="both"/>
        <w:rPr>
          <w:rFonts w:asciiTheme="minorHAnsi" w:eastAsia="Calibri" w:hAnsiTheme="minorHAnsi" w:cstheme="minorHAnsi"/>
        </w:rPr>
      </w:pPr>
    </w:p>
    <w:p w14:paraId="60AB63E9" w14:textId="77777777" w:rsidR="00E716D0" w:rsidRDefault="00E716D0" w:rsidP="00E716D0">
      <w:pPr>
        <w:pStyle w:val="NormalWeb"/>
        <w:bidi/>
        <w:jc w:val="both"/>
        <w:rPr>
          <w:rFonts w:asciiTheme="minorHAnsi" w:eastAsia="Calibri" w:hAnsiTheme="minorHAnsi" w:cstheme="minorHAnsi"/>
        </w:rPr>
      </w:pPr>
    </w:p>
    <w:p w14:paraId="0D3ED29A" w14:textId="2796D663" w:rsidR="00D70679" w:rsidRPr="00E716D0" w:rsidRDefault="00B1613B" w:rsidP="00E716D0">
      <w:pPr>
        <w:pStyle w:val="NormalWeb"/>
        <w:bidi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3535E042" wp14:editId="74FBEDF5">
            <wp:simplePos x="0" y="0"/>
            <wp:positionH relativeFrom="margin">
              <wp:posOffset>320040</wp:posOffset>
            </wp:positionH>
            <wp:positionV relativeFrom="paragraph">
              <wp:posOffset>350078</wp:posOffset>
            </wp:positionV>
            <wp:extent cx="4942923" cy="3395207"/>
            <wp:effectExtent l="0" t="0" r="10160" b="1524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679" w:rsidRPr="00E716D0">
        <w:rPr>
          <w:rFonts w:asciiTheme="minorHAnsi" w:eastAsia="Calibri" w:hAnsiTheme="minorHAnsi" w:cstheme="minorHAnsi"/>
          <w:rtl/>
        </w:rPr>
        <w:t>תרשים 3: מאזני נטו</w:t>
      </w:r>
      <w:r w:rsidR="00786E99" w:rsidRPr="00E716D0">
        <w:rPr>
          <w:rFonts w:asciiTheme="minorHAnsi" w:eastAsia="Calibri" w:hAnsiTheme="minorHAnsi" w:cstheme="minorHAnsi"/>
          <w:rtl/>
        </w:rPr>
        <w:t>*</w:t>
      </w:r>
      <w:r w:rsidR="00D70679" w:rsidRPr="00E716D0">
        <w:rPr>
          <w:rFonts w:asciiTheme="minorHAnsi" w:eastAsia="Calibri" w:hAnsiTheme="minorHAnsi" w:cstheme="minorHAnsi"/>
          <w:rtl/>
        </w:rPr>
        <w:t xml:space="preserve"> לשינוי בתנאי האשראי עבור בקשות חדשות להעמדות אשראי</w:t>
      </w:r>
    </w:p>
    <w:p w14:paraId="3E222102" w14:textId="3C84074C" w:rsidR="00D70679" w:rsidRPr="00E716D0" w:rsidRDefault="00D70679" w:rsidP="00D70679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3018B199" w14:textId="0775A20B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46D64501" w14:textId="25221C5E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28A7164B" w14:textId="2D0F146A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368EDFD4" w14:textId="222DA022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4B650334" w14:textId="7D38CD56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072A4838" w14:textId="7C213613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21247DC7" w14:textId="6E653B48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648" behindDoc="1" locked="0" layoutInCell="1" allowOverlap="1" wp14:anchorId="0DDBC4A6" wp14:editId="353E2DF5">
            <wp:simplePos x="0" y="0"/>
            <wp:positionH relativeFrom="margin">
              <wp:posOffset>311785</wp:posOffset>
            </wp:positionH>
            <wp:positionV relativeFrom="paragraph">
              <wp:posOffset>402507</wp:posOffset>
            </wp:positionV>
            <wp:extent cx="4986655" cy="3069203"/>
            <wp:effectExtent l="0" t="0" r="4445" b="17145"/>
            <wp:wrapNone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4D059" w14:textId="551DAC3B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3E591E82" w14:textId="0543EA48" w:rsidR="00370566" w:rsidRPr="00E716D0" w:rsidRDefault="00370566" w:rsidP="00370566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17A3D33B" w14:textId="77777777" w:rsidR="00B1613B" w:rsidRPr="00E716D0" w:rsidRDefault="00B1613B" w:rsidP="00786E99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7C80C577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56B3FF7C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57A68195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31A4AF78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63B02B2A" w14:textId="3B3F333F" w:rsidR="002B7360" w:rsidRPr="00E716D0" w:rsidRDefault="00786E99" w:rsidP="005B7915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E716D0">
        <w:rPr>
          <w:rFonts w:asciiTheme="minorHAnsi" w:eastAsia="Calibri" w:hAnsiTheme="minorHAnsi" w:cstheme="minorHAnsi"/>
          <w:rtl/>
        </w:rPr>
        <w:t>* ערך חיוב</w:t>
      </w:r>
      <w:r w:rsidR="00B1613B" w:rsidRPr="00E716D0">
        <w:rPr>
          <w:rFonts w:asciiTheme="minorHAnsi" w:eastAsia="Calibri" w:hAnsiTheme="minorHAnsi" w:cstheme="minorHAnsi"/>
          <w:rtl/>
        </w:rPr>
        <w:t>י מתאר הקשחה בתנאי האשראי ולהיפך</w:t>
      </w:r>
    </w:p>
    <w:p w14:paraId="7874DADF" w14:textId="2A24DA95" w:rsidR="006F4FDC" w:rsidRDefault="0084730E" w:rsidP="008E008C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t xml:space="preserve">הגורמים העיקריים להגמשה במרווחים </w:t>
      </w:r>
      <w:r w:rsidR="00135A3D" w:rsidRPr="00E716D0">
        <w:rPr>
          <w:rFonts w:asciiTheme="minorHAnsi" w:eastAsia="Calibri" w:hAnsiTheme="minorHAnsi" w:cstheme="minorHAnsi"/>
          <w:rtl/>
        </w:rPr>
        <w:t>ה</w:t>
      </w:r>
      <w:r w:rsidRPr="00E716D0">
        <w:rPr>
          <w:rFonts w:asciiTheme="minorHAnsi" w:eastAsia="Calibri" w:hAnsiTheme="minorHAnsi" w:cstheme="minorHAnsi"/>
          <w:rtl/>
        </w:rPr>
        <w:t xml:space="preserve">משיכו להיות גורמי התחרות </w:t>
      </w:r>
      <w:r w:rsidR="00103AFD" w:rsidRPr="00E716D0">
        <w:rPr>
          <w:rFonts w:asciiTheme="minorHAnsi" w:eastAsia="Calibri" w:hAnsiTheme="minorHAnsi" w:cstheme="minorHAnsi"/>
          <w:rtl/>
        </w:rPr>
        <w:t>ו</w:t>
      </w:r>
      <w:r w:rsidRPr="00E716D0">
        <w:rPr>
          <w:rFonts w:asciiTheme="minorHAnsi" w:eastAsia="Calibri" w:hAnsiTheme="minorHAnsi" w:cstheme="minorHAnsi"/>
          <w:rtl/>
        </w:rPr>
        <w:t>יחסי ההון הגבוהים</w:t>
      </w:r>
      <w:r w:rsidR="00103AFD" w:rsidRPr="00E716D0">
        <w:rPr>
          <w:rFonts w:asciiTheme="minorHAnsi" w:eastAsia="Calibri" w:hAnsiTheme="minorHAnsi" w:cstheme="minorHAnsi"/>
          <w:rtl/>
        </w:rPr>
        <w:t xml:space="preserve"> </w:t>
      </w:r>
      <w:r w:rsidR="006F4FDC" w:rsidRPr="00E716D0">
        <w:rPr>
          <w:rFonts w:asciiTheme="minorHAnsi" w:eastAsia="Calibri" w:hAnsiTheme="minorHAnsi" w:cstheme="minorHAnsi"/>
          <w:rtl/>
        </w:rPr>
        <w:t>(תרשים 4)</w:t>
      </w:r>
      <w:r w:rsidRPr="00E716D0">
        <w:rPr>
          <w:rFonts w:asciiTheme="minorHAnsi" w:eastAsia="Calibri" w:hAnsiTheme="minorHAnsi" w:cstheme="minorHAnsi"/>
          <w:rtl/>
        </w:rPr>
        <w:t>.</w:t>
      </w:r>
    </w:p>
    <w:p w14:paraId="62E2400C" w14:textId="77777777" w:rsidR="00E716D0" w:rsidRPr="00E716D0" w:rsidRDefault="00E716D0" w:rsidP="00E716D0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35FD9D71" w14:textId="281980BF" w:rsidR="00363ABE" w:rsidRPr="00E716D0" w:rsidRDefault="00B1613B" w:rsidP="00012FA3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78803EEE" wp14:editId="32C93B4E">
            <wp:simplePos x="0" y="0"/>
            <wp:positionH relativeFrom="margin">
              <wp:align>left</wp:align>
            </wp:positionH>
            <wp:positionV relativeFrom="paragraph">
              <wp:posOffset>441408</wp:posOffset>
            </wp:positionV>
            <wp:extent cx="5269230" cy="4468633"/>
            <wp:effectExtent l="0" t="0" r="7620" b="8255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FDC" w:rsidRPr="00E716D0">
        <w:rPr>
          <w:rFonts w:asciiTheme="minorHAnsi" w:eastAsia="Calibri" w:hAnsiTheme="minorHAnsi" w:cstheme="minorHAnsi"/>
          <w:rtl/>
        </w:rPr>
        <w:t xml:space="preserve">תרשים 4. </w:t>
      </w:r>
      <w:r w:rsidR="00363ABE" w:rsidRPr="00E716D0">
        <w:rPr>
          <w:rFonts w:asciiTheme="minorHAnsi" w:eastAsia="Calibri" w:hAnsiTheme="minorHAnsi" w:cstheme="minorHAnsi"/>
          <w:rtl/>
        </w:rPr>
        <w:t>מאזני נטו</w:t>
      </w:r>
      <w:r w:rsidR="00012FA3" w:rsidRPr="00E716D0">
        <w:rPr>
          <w:rFonts w:asciiTheme="minorHAnsi" w:eastAsia="Calibri" w:hAnsiTheme="minorHAnsi" w:cstheme="minorHAnsi"/>
          <w:rtl/>
        </w:rPr>
        <w:t>*</w:t>
      </w:r>
      <w:r w:rsidR="00363ABE" w:rsidRPr="00E716D0">
        <w:rPr>
          <w:rFonts w:asciiTheme="minorHAnsi" w:eastAsia="Calibri" w:hAnsiTheme="minorHAnsi" w:cstheme="minorHAnsi"/>
          <w:rtl/>
        </w:rPr>
        <w:t xml:space="preserve"> של השינויים בהשפעתם של גורמים שונים על השינוי במרווחי האשראי</w:t>
      </w:r>
      <w:r w:rsidR="00D20F2F" w:rsidRPr="00E716D0">
        <w:rPr>
          <w:rFonts w:asciiTheme="minorHAnsi" w:eastAsia="Calibri" w:hAnsiTheme="minorHAnsi" w:cstheme="minorHAnsi"/>
          <w:rtl/>
        </w:rPr>
        <w:t xml:space="preserve"> </w:t>
      </w:r>
    </w:p>
    <w:p w14:paraId="5D8DB86A" w14:textId="182A4158" w:rsidR="004D4EC7" w:rsidRPr="00E716D0" w:rsidRDefault="004D4EC7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20E89579" w14:textId="5DC74B1E" w:rsidR="00363ABE" w:rsidRPr="00E716D0" w:rsidRDefault="00363ABE" w:rsidP="00C16B56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12A93234" w14:textId="77777777" w:rsidR="00B1613B" w:rsidRPr="00E716D0" w:rsidRDefault="00B1613B" w:rsidP="00CE0381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4F497132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4001D8BE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5E22762B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32D12125" w14:textId="0C49A43A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1282E1CD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76A9E210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79643E24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2559F2BC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58CD2465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262D8E00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61A8DF4E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568DBCA9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00889B08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6AD45893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6DA45ADE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noProof/>
          <w:rtl/>
        </w:rPr>
      </w:pPr>
    </w:p>
    <w:p w14:paraId="2535B02C" w14:textId="3668CD9A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615CFBC7" wp14:editId="4A03219F">
            <wp:simplePos x="0" y="0"/>
            <wp:positionH relativeFrom="margin">
              <wp:posOffset>25842</wp:posOffset>
            </wp:positionH>
            <wp:positionV relativeFrom="paragraph">
              <wp:posOffset>0</wp:posOffset>
            </wp:positionV>
            <wp:extent cx="5287286" cy="4110824"/>
            <wp:effectExtent l="0" t="0" r="8890" b="4445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0A11" w14:textId="1CBD9847" w:rsidR="00CE0381" w:rsidRPr="00E716D0" w:rsidRDefault="00CE0381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2EE7BE2B" w14:textId="77777777" w:rsidR="00B1613B" w:rsidRPr="00E716D0" w:rsidRDefault="00B1613B" w:rsidP="00D94E25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781BCB77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511EB261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2FC50C95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1CF23B05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075E1449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2026C198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16A0E75D" w14:textId="11FC3FB0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1792" behindDoc="1" locked="0" layoutInCell="1" allowOverlap="1" wp14:anchorId="7439E626" wp14:editId="152400D5">
            <wp:simplePos x="0" y="0"/>
            <wp:positionH relativeFrom="margin">
              <wp:align>left</wp:align>
            </wp:positionH>
            <wp:positionV relativeFrom="paragraph">
              <wp:posOffset>302647</wp:posOffset>
            </wp:positionV>
            <wp:extent cx="5351228" cy="3935730"/>
            <wp:effectExtent l="0" t="0" r="1905" b="7620"/>
            <wp:wrapNone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9CE43" w14:textId="1981573B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576A70CA" w14:textId="0EB63DAA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27735131" w14:textId="54BF979F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792D6CDF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1FC10029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2C77B90D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737D0438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11883F4E" w14:textId="77777777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7F8FF7C3" w14:textId="26F21693" w:rsidR="00B1613B" w:rsidRPr="00E716D0" w:rsidRDefault="00B1613B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14:paraId="437DF01D" w14:textId="0890639D" w:rsidR="00012FA3" w:rsidRPr="00E716D0" w:rsidRDefault="00012FA3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E716D0">
        <w:rPr>
          <w:rFonts w:asciiTheme="minorHAnsi" w:eastAsia="Calibri" w:hAnsiTheme="minorHAnsi" w:cstheme="minorHAnsi"/>
          <w:rtl/>
        </w:rPr>
        <w:lastRenderedPageBreak/>
        <w:t>* ער</w:t>
      </w:r>
      <w:bookmarkStart w:id="0" w:name="_GoBack"/>
      <w:bookmarkEnd w:id="0"/>
      <w:r w:rsidRPr="00E716D0">
        <w:rPr>
          <w:rFonts w:asciiTheme="minorHAnsi" w:eastAsia="Calibri" w:hAnsiTheme="minorHAnsi" w:cstheme="minorHAnsi"/>
          <w:rtl/>
        </w:rPr>
        <w:t xml:space="preserve">ך חיובי מתאר תרומה להקשחה במרווחים ולהיפך </w:t>
      </w:r>
    </w:p>
    <w:sectPr w:rsidR="00012FA3" w:rsidRPr="00E716D0" w:rsidSect="002A6376">
      <w:foot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7695B" w14:textId="77777777" w:rsidR="00473805" w:rsidRDefault="00473805" w:rsidP="00343A83">
      <w:pPr>
        <w:spacing w:after="0" w:line="240" w:lineRule="auto"/>
      </w:pPr>
      <w:r>
        <w:separator/>
      </w:r>
    </w:p>
  </w:endnote>
  <w:endnote w:type="continuationSeparator" w:id="0">
    <w:p w14:paraId="6F105422" w14:textId="77777777" w:rsidR="00473805" w:rsidRDefault="00473805" w:rsidP="0034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9687F" w14:textId="77777777" w:rsidR="00E716D0" w:rsidRDefault="00E716D0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8ABDC1" wp14:editId="449E8B6D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4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111212" w14:textId="77777777" w:rsidR="00E716D0" w:rsidRPr="00031A9D" w:rsidRDefault="00E716D0" w:rsidP="00F25BB5">
                          <w:pPr>
                            <w:bidi w:val="0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ABDC1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left:0;text-align:left;margin-left:125.25pt;margin-top:8.8pt;width:158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" filled="f" stroked="f" strokeweight=".5pt">
              <v:textbox>
                <w:txbxContent>
                  <w:p w14:paraId="0C111212" w14:textId="77777777" w:rsidR="00E716D0" w:rsidRPr="00031A9D" w:rsidRDefault="00E716D0" w:rsidP="00F25BB5">
                    <w:pPr>
                      <w:bidi w:val="0"/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1157A73F" wp14:editId="6AB7DCC6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24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A9D7D4F" wp14:editId="76DD1052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25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19C804B7" wp14:editId="29699BC0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2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5388E23A" wp14:editId="455B9DDE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C41C79" wp14:editId="0C852B19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17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52B3F5" w14:textId="77777777" w:rsidR="00E716D0" w:rsidRPr="00031A9D" w:rsidRDefault="00E716D0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C41C79" id="תיבת טקסט 22" o:spid="_x0000_s1027" type="#_x0000_t202" style="position:absolute;left:0;text-align:left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mU5X&#10;4k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14:paraId="3852B3F5" w14:textId="77777777" w:rsidR="00E716D0" w:rsidRPr="00031A9D" w:rsidRDefault="00E716D0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30917" wp14:editId="1A109B3D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18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6AE4C0" w14:textId="77777777" w:rsidR="00E716D0" w:rsidRPr="00031A9D" w:rsidRDefault="00E716D0" w:rsidP="00031A9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BD30917" id="תיבת טקסט 9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" filled="f" stroked="f" strokeweight=".5pt">
              <v:textbox>
                <w:txbxContent>
                  <w:p w14:paraId="296AE4C0" w14:textId="77777777" w:rsidR="00E716D0" w:rsidRPr="00031A9D" w:rsidRDefault="00E716D0" w:rsidP="00031A9D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>פייסבוק - 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02B96" wp14:editId="0F34C45B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20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D8EAAC" w14:textId="77777777" w:rsidR="00E716D0" w:rsidRPr="00031A9D" w:rsidRDefault="00E716D0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202B96" id="תיבת טקסט 7" o:spid="_x0000_s1029" type="#_x0000_t202" style="position:absolute;left:0;text-align:left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AcMmxNF&#10;AgAAYg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14:paraId="2DD8EAAC" w14:textId="77777777" w:rsidR="00E716D0" w:rsidRPr="00031A9D" w:rsidRDefault="00E716D0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5D86A3" wp14:editId="7D03022A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23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2A2A56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14:paraId="112D545A" w14:textId="77777777" w:rsidR="00E716D0" w:rsidRDefault="00E71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92832" w14:textId="77777777" w:rsidR="00473805" w:rsidRDefault="00473805" w:rsidP="00343A83">
      <w:pPr>
        <w:spacing w:after="0" w:line="240" w:lineRule="auto"/>
      </w:pPr>
      <w:r>
        <w:separator/>
      </w:r>
    </w:p>
  </w:footnote>
  <w:footnote w:type="continuationSeparator" w:id="0">
    <w:p w14:paraId="2C8315C4" w14:textId="77777777" w:rsidR="00473805" w:rsidRDefault="00473805" w:rsidP="00343A83">
      <w:pPr>
        <w:spacing w:after="0" w:line="240" w:lineRule="auto"/>
      </w:pPr>
      <w:r>
        <w:continuationSeparator/>
      </w:r>
    </w:p>
  </w:footnote>
  <w:footnote w:id="1">
    <w:p w14:paraId="57681D38" w14:textId="77777777" w:rsidR="00B51A9A" w:rsidRDefault="0084093E" w:rsidP="002F6E2A">
      <w:pPr>
        <w:pStyle w:val="FootnoteText"/>
        <w:ind w:left="-58"/>
        <w:rPr>
          <w:rFonts w:asciiTheme="minorBidi" w:hAnsiTheme="minorBidi" w:cstheme="minorBidi"/>
          <w:rtl/>
        </w:rPr>
      </w:pPr>
      <w:r w:rsidRPr="00ED21F7">
        <w:rPr>
          <w:rStyle w:val="FootnoteReference"/>
          <w:rFonts w:asciiTheme="minorBidi" w:hAnsiTheme="minorBidi" w:cstheme="minorBidi"/>
        </w:rPr>
        <w:footnoteRef/>
      </w:r>
      <w:r w:rsidRPr="00ED21F7">
        <w:rPr>
          <w:rFonts w:asciiTheme="minorBidi" w:hAnsiTheme="minorBidi" w:cstheme="minorBidi"/>
          <w:rtl/>
        </w:rPr>
        <w:t xml:space="preserve"> מאזן נטו מחושב כהפרש בין אחוז התשובות בצד החיובי לאחוז התשובות בצד השלילי. בשאלות לגבי הביקוש לאשראי התשובות "עלה/עלה מאוד" הוגדרו בצד החיובי והתשובות "ירד/ירד מאוד" הוגדרו בצד השלילי, כך שמאזן נטו חיובי משקף עליה בביקוש לאשראי ולהיפך. בשאלות לגבי היצע האשראי כלומר מדיניות העמדת האשראי ותנאי האשראי התשובות "הקשחה ניכרת/הקשחה מסוימת" הוגדרו בצד החיובי והתשובות "הגמשה מסוימת/הגמשה ניכרת" הוגדרו בצד השלילי, כך שמאזן נטו </w:t>
      </w:r>
      <w:r w:rsidR="002F6E2A">
        <w:rPr>
          <w:rFonts w:asciiTheme="minorBidi" w:hAnsiTheme="minorBidi" w:cstheme="minorBidi" w:hint="cs"/>
          <w:rtl/>
        </w:rPr>
        <w:t>חיובי</w:t>
      </w:r>
      <w:r w:rsidRPr="00ED21F7">
        <w:rPr>
          <w:rFonts w:asciiTheme="minorBidi" w:hAnsiTheme="minorBidi" w:cstheme="minorBidi"/>
          <w:rtl/>
        </w:rPr>
        <w:t xml:space="preserve"> משקף הקשחה במדיניות או בתנאי האשראי ולהיפך. התשובות שוקללו בהתאם לנתח של כל בנק בכל סגמנט של אשראי.  </w:t>
      </w:r>
    </w:p>
    <w:p w14:paraId="5035CAEE" w14:textId="77777777" w:rsidR="0084093E" w:rsidRPr="00ED21F7" w:rsidRDefault="0084093E" w:rsidP="002F6E2A">
      <w:pPr>
        <w:pStyle w:val="FootnoteText"/>
        <w:ind w:left="-58"/>
        <w:rPr>
          <w:rFonts w:asciiTheme="minorBidi" w:hAnsiTheme="minorBidi" w:cstheme="minorBidi"/>
          <w:rtl/>
        </w:rPr>
      </w:pPr>
      <w:r w:rsidRPr="00ED21F7">
        <w:rPr>
          <w:rFonts w:asciiTheme="minorBidi" w:hAnsiTheme="minorBidi" w:cstheme="minorBidi"/>
          <w:rtl/>
        </w:rPr>
        <w:t xml:space="preserve"> </w:t>
      </w:r>
    </w:p>
  </w:footnote>
  <w:footnote w:id="2">
    <w:p w14:paraId="3AB6E148" w14:textId="77777777" w:rsidR="00CB714F" w:rsidRDefault="00CB714F" w:rsidP="006C7B3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51A9A">
        <w:rPr>
          <w:rFonts w:asciiTheme="minorBidi" w:hAnsiTheme="minorBidi" w:cstheme="minorBidi" w:hint="cs"/>
          <w:rtl/>
        </w:rPr>
        <w:t xml:space="preserve">ההגדרה של ענפי הבינוי והנדל"ן </w:t>
      </w:r>
      <w:r w:rsidR="006C7B33" w:rsidRPr="00B51A9A">
        <w:rPr>
          <w:rFonts w:asciiTheme="minorBidi" w:hAnsiTheme="minorBidi" w:cstheme="minorBidi" w:hint="cs"/>
          <w:rtl/>
        </w:rPr>
        <w:t xml:space="preserve">היא בהתאם לסיווג האחיד של ענפי הכלכלה של הלשכה המרכזית לסטטיסטיקה. ענף הבינוי </w:t>
      </w:r>
      <w:r w:rsidR="00933437">
        <w:rPr>
          <w:rFonts w:asciiTheme="minorBidi" w:hAnsiTheme="minorBidi" w:cstheme="minorBidi" w:hint="cs"/>
          <w:rtl/>
        </w:rPr>
        <w:t xml:space="preserve">(סדר </w:t>
      </w:r>
      <w:r w:rsidR="00933437">
        <w:rPr>
          <w:rFonts w:asciiTheme="minorBidi" w:hAnsiTheme="minorBidi" w:cstheme="minorBidi" w:hint="cs"/>
        </w:rPr>
        <w:t>F</w:t>
      </w:r>
      <w:r w:rsidR="00933437">
        <w:rPr>
          <w:rFonts w:asciiTheme="minorBidi" w:hAnsiTheme="minorBidi" w:cstheme="minorBidi" w:hint="cs"/>
          <w:rtl/>
        </w:rPr>
        <w:t xml:space="preserve"> ) </w:t>
      </w:r>
      <w:r w:rsidR="006C7B33" w:rsidRPr="00B51A9A">
        <w:rPr>
          <w:rFonts w:asciiTheme="minorBidi" w:hAnsiTheme="minorBidi" w:cstheme="minorBidi" w:hint="cs"/>
          <w:rtl/>
        </w:rPr>
        <w:t xml:space="preserve">כולל בעיקר בניית מבנים ובניינים ותשתיות ואילו ענף הנדל"ן </w:t>
      </w:r>
      <w:r w:rsidR="00933437">
        <w:rPr>
          <w:rFonts w:asciiTheme="minorBidi" w:hAnsiTheme="minorBidi" w:cstheme="minorBidi" w:hint="cs"/>
          <w:rtl/>
        </w:rPr>
        <w:t xml:space="preserve">(סדר </w:t>
      </w:r>
      <w:r w:rsidR="00933437">
        <w:rPr>
          <w:rFonts w:asciiTheme="minorBidi" w:hAnsiTheme="minorBidi" w:cstheme="minorBidi" w:hint="cs"/>
        </w:rPr>
        <w:t>L</w:t>
      </w:r>
      <w:r w:rsidR="00933437">
        <w:rPr>
          <w:rFonts w:asciiTheme="minorBidi" w:hAnsiTheme="minorBidi" w:cstheme="minorBidi" w:hint="cs"/>
          <w:rtl/>
        </w:rPr>
        <w:t xml:space="preserve">) </w:t>
      </w:r>
      <w:r w:rsidR="006C7B33" w:rsidRPr="00B51A9A">
        <w:rPr>
          <w:rFonts w:asciiTheme="minorBidi" w:hAnsiTheme="minorBidi" w:cstheme="minorBidi" w:hint="cs"/>
          <w:rtl/>
        </w:rPr>
        <w:t>כולל פעילויות בנדל"ן בעיקר קנייה, מכירה, השכרה ותפעול של נדל"ן. הוא אינו כולל פיתוח מיזמי בנייה למכירה.</w:t>
      </w:r>
      <w:r w:rsidR="006C7B33">
        <w:rPr>
          <w:rFonts w:hint="cs"/>
          <w:rtl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172F"/>
    <w:multiLevelType w:val="hybridMultilevel"/>
    <w:tmpl w:val="4A98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01806"/>
    <w:multiLevelType w:val="hybridMultilevel"/>
    <w:tmpl w:val="B210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D0"/>
    <w:rsid w:val="000032FB"/>
    <w:rsid w:val="00012FA3"/>
    <w:rsid w:val="00025639"/>
    <w:rsid w:val="00026412"/>
    <w:rsid w:val="00055125"/>
    <w:rsid w:val="00056C1E"/>
    <w:rsid w:val="00064492"/>
    <w:rsid w:val="00067A32"/>
    <w:rsid w:val="00067E12"/>
    <w:rsid w:val="000736C9"/>
    <w:rsid w:val="00081262"/>
    <w:rsid w:val="0008332E"/>
    <w:rsid w:val="000D14B9"/>
    <w:rsid w:val="000F7525"/>
    <w:rsid w:val="00100E5B"/>
    <w:rsid w:val="0010181F"/>
    <w:rsid w:val="00103AFD"/>
    <w:rsid w:val="00112E6A"/>
    <w:rsid w:val="001166B5"/>
    <w:rsid w:val="00135A3D"/>
    <w:rsid w:val="00137BC6"/>
    <w:rsid w:val="00162DF4"/>
    <w:rsid w:val="00167E6E"/>
    <w:rsid w:val="001740B1"/>
    <w:rsid w:val="00182960"/>
    <w:rsid w:val="0019073A"/>
    <w:rsid w:val="0019280F"/>
    <w:rsid w:val="00193B3E"/>
    <w:rsid w:val="001A0F3B"/>
    <w:rsid w:val="001A7959"/>
    <w:rsid w:val="001C19DA"/>
    <w:rsid w:val="001D5AFF"/>
    <w:rsid w:val="001F42B8"/>
    <w:rsid w:val="001F48FF"/>
    <w:rsid w:val="00210625"/>
    <w:rsid w:val="00220E2F"/>
    <w:rsid w:val="00230B7D"/>
    <w:rsid w:val="00250383"/>
    <w:rsid w:val="00255CDB"/>
    <w:rsid w:val="00263D89"/>
    <w:rsid w:val="00282FC4"/>
    <w:rsid w:val="002926DF"/>
    <w:rsid w:val="002A6376"/>
    <w:rsid w:val="002A6D29"/>
    <w:rsid w:val="002B568A"/>
    <w:rsid w:val="002B7360"/>
    <w:rsid w:val="002B7436"/>
    <w:rsid w:val="002C2C8B"/>
    <w:rsid w:val="002E1598"/>
    <w:rsid w:val="002F6E2A"/>
    <w:rsid w:val="00312AF1"/>
    <w:rsid w:val="00323060"/>
    <w:rsid w:val="00343A83"/>
    <w:rsid w:val="0035304D"/>
    <w:rsid w:val="0035729F"/>
    <w:rsid w:val="003578FC"/>
    <w:rsid w:val="00363ABE"/>
    <w:rsid w:val="00370566"/>
    <w:rsid w:val="0037416E"/>
    <w:rsid w:val="00396D11"/>
    <w:rsid w:val="003B6E1E"/>
    <w:rsid w:val="003D2919"/>
    <w:rsid w:val="003D7E8E"/>
    <w:rsid w:val="003F74BB"/>
    <w:rsid w:val="00413BB0"/>
    <w:rsid w:val="00416049"/>
    <w:rsid w:val="00445746"/>
    <w:rsid w:val="00473805"/>
    <w:rsid w:val="0048018A"/>
    <w:rsid w:val="004844E3"/>
    <w:rsid w:val="00494705"/>
    <w:rsid w:val="00496F32"/>
    <w:rsid w:val="004C55B4"/>
    <w:rsid w:val="004D4EC7"/>
    <w:rsid w:val="004F235A"/>
    <w:rsid w:val="00511B84"/>
    <w:rsid w:val="00511BA5"/>
    <w:rsid w:val="00523A0D"/>
    <w:rsid w:val="00536101"/>
    <w:rsid w:val="005474DB"/>
    <w:rsid w:val="005726C9"/>
    <w:rsid w:val="00581E60"/>
    <w:rsid w:val="005A29F5"/>
    <w:rsid w:val="005B7915"/>
    <w:rsid w:val="005C0D99"/>
    <w:rsid w:val="005D18D0"/>
    <w:rsid w:val="005D292E"/>
    <w:rsid w:val="00601612"/>
    <w:rsid w:val="00616B41"/>
    <w:rsid w:val="006278BB"/>
    <w:rsid w:val="00631FC8"/>
    <w:rsid w:val="006561C4"/>
    <w:rsid w:val="006956AB"/>
    <w:rsid w:val="006B30B0"/>
    <w:rsid w:val="006C7B33"/>
    <w:rsid w:val="006F4FDC"/>
    <w:rsid w:val="006F5BB4"/>
    <w:rsid w:val="00703FFF"/>
    <w:rsid w:val="00707EA1"/>
    <w:rsid w:val="00726451"/>
    <w:rsid w:val="00734CA9"/>
    <w:rsid w:val="00740145"/>
    <w:rsid w:val="00766DF5"/>
    <w:rsid w:val="007758D3"/>
    <w:rsid w:val="00786E99"/>
    <w:rsid w:val="0079053A"/>
    <w:rsid w:val="007A7E8C"/>
    <w:rsid w:val="007B5C95"/>
    <w:rsid w:val="007D08F5"/>
    <w:rsid w:val="007E7483"/>
    <w:rsid w:val="00800697"/>
    <w:rsid w:val="00805A48"/>
    <w:rsid w:val="00824C84"/>
    <w:rsid w:val="0083144B"/>
    <w:rsid w:val="00833D32"/>
    <w:rsid w:val="0084093E"/>
    <w:rsid w:val="0084730E"/>
    <w:rsid w:val="008525E1"/>
    <w:rsid w:val="00852D7D"/>
    <w:rsid w:val="008876E3"/>
    <w:rsid w:val="00891699"/>
    <w:rsid w:val="008E008C"/>
    <w:rsid w:val="008F5A34"/>
    <w:rsid w:val="008F71B1"/>
    <w:rsid w:val="00902D3D"/>
    <w:rsid w:val="00921990"/>
    <w:rsid w:val="00933437"/>
    <w:rsid w:val="0094175F"/>
    <w:rsid w:val="009448A2"/>
    <w:rsid w:val="009473D1"/>
    <w:rsid w:val="00961D5B"/>
    <w:rsid w:val="00965F81"/>
    <w:rsid w:val="009A1AC9"/>
    <w:rsid w:val="009A57A0"/>
    <w:rsid w:val="009B022C"/>
    <w:rsid w:val="009F191F"/>
    <w:rsid w:val="00A203FD"/>
    <w:rsid w:val="00A4293C"/>
    <w:rsid w:val="00A53607"/>
    <w:rsid w:val="00A5701F"/>
    <w:rsid w:val="00A6324E"/>
    <w:rsid w:val="00A709A1"/>
    <w:rsid w:val="00A76742"/>
    <w:rsid w:val="00A94AE8"/>
    <w:rsid w:val="00AB6DCF"/>
    <w:rsid w:val="00AE1FA2"/>
    <w:rsid w:val="00AE4C17"/>
    <w:rsid w:val="00AF0A5A"/>
    <w:rsid w:val="00AF7B80"/>
    <w:rsid w:val="00B1613B"/>
    <w:rsid w:val="00B21F1F"/>
    <w:rsid w:val="00B4178D"/>
    <w:rsid w:val="00B51A9A"/>
    <w:rsid w:val="00B8417C"/>
    <w:rsid w:val="00B8708C"/>
    <w:rsid w:val="00B923DC"/>
    <w:rsid w:val="00BB01A1"/>
    <w:rsid w:val="00BC5201"/>
    <w:rsid w:val="00BD0D89"/>
    <w:rsid w:val="00BD4380"/>
    <w:rsid w:val="00C06589"/>
    <w:rsid w:val="00C11051"/>
    <w:rsid w:val="00C12B91"/>
    <w:rsid w:val="00C16B56"/>
    <w:rsid w:val="00C16CAF"/>
    <w:rsid w:val="00C4622E"/>
    <w:rsid w:val="00C51F68"/>
    <w:rsid w:val="00C53655"/>
    <w:rsid w:val="00C5486D"/>
    <w:rsid w:val="00C702AC"/>
    <w:rsid w:val="00C96DD9"/>
    <w:rsid w:val="00CA45E8"/>
    <w:rsid w:val="00CB0CD0"/>
    <w:rsid w:val="00CB3B19"/>
    <w:rsid w:val="00CB714F"/>
    <w:rsid w:val="00CD03B2"/>
    <w:rsid w:val="00CD5EF6"/>
    <w:rsid w:val="00CE0381"/>
    <w:rsid w:val="00CE7AA4"/>
    <w:rsid w:val="00CF1FAB"/>
    <w:rsid w:val="00D10F97"/>
    <w:rsid w:val="00D179D0"/>
    <w:rsid w:val="00D20F2F"/>
    <w:rsid w:val="00D34346"/>
    <w:rsid w:val="00D40E95"/>
    <w:rsid w:val="00D70679"/>
    <w:rsid w:val="00D7261F"/>
    <w:rsid w:val="00D74E5F"/>
    <w:rsid w:val="00D8448B"/>
    <w:rsid w:val="00D84E4C"/>
    <w:rsid w:val="00D869F0"/>
    <w:rsid w:val="00D92A93"/>
    <w:rsid w:val="00D94E25"/>
    <w:rsid w:val="00D95F2B"/>
    <w:rsid w:val="00DA2A0B"/>
    <w:rsid w:val="00DA58ED"/>
    <w:rsid w:val="00DA6566"/>
    <w:rsid w:val="00DD5E9D"/>
    <w:rsid w:val="00DE0142"/>
    <w:rsid w:val="00DE40CE"/>
    <w:rsid w:val="00DF00BE"/>
    <w:rsid w:val="00E00F5C"/>
    <w:rsid w:val="00E06C7B"/>
    <w:rsid w:val="00E21C82"/>
    <w:rsid w:val="00E31EAB"/>
    <w:rsid w:val="00E36222"/>
    <w:rsid w:val="00E36F1B"/>
    <w:rsid w:val="00E470EE"/>
    <w:rsid w:val="00E612DA"/>
    <w:rsid w:val="00E70AAF"/>
    <w:rsid w:val="00E71131"/>
    <w:rsid w:val="00E716D0"/>
    <w:rsid w:val="00E76C88"/>
    <w:rsid w:val="00E76C89"/>
    <w:rsid w:val="00E81196"/>
    <w:rsid w:val="00E90661"/>
    <w:rsid w:val="00EB399A"/>
    <w:rsid w:val="00EB545B"/>
    <w:rsid w:val="00EB5EBA"/>
    <w:rsid w:val="00ED21F7"/>
    <w:rsid w:val="00ED2E03"/>
    <w:rsid w:val="00ED6D52"/>
    <w:rsid w:val="00EE4F05"/>
    <w:rsid w:val="00EF1F37"/>
    <w:rsid w:val="00F27F90"/>
    <w:rsid w:val="00F41D34"/>
    <w:rsid w:val="00F54160"/>
    <w:rsid w:val="00F61C4B"/>
    <w:rsid w:val="00FE5B9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363E"/>
  <w15:chartTrackingRefBased/>
  <w15:docId w15:val="{98529589-97E6-47EE-A750-5597DDEB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8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8D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3A83"/>
    <w:pPr>
      <w:widowControl w:val="0"/>
      <w:spacing w:after="0" w:line="240" w:lineRule="auto"/>
      <w:ind w:left="340"/>
      <w:contextualSpacing/>
      <w:jc w:val="both"/>
    </w:pPr>
    <w:rPr>
      <w:rFonts w:ascii="David" w:eastAsia="Calibri" w:hAnsi="David"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3A83"/>
    <w:rPr>
      <w:rFonts w:ascii="David" w:eastAsia="Calibri" w:hAnsi="David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3A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2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9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9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F5"/>
    <w:rPr>
      <w:rFonts w:ascii="Tahoma" w:hAnsi="Tahoma" w:cs="Tahoma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9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9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29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1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D0"/>
  </w:style>
  <w:style w:type="paragraph" w:styleId="Footer">
    <w:name w:val="footer"/>
    <w:basedOn w:val="Normal"/>
    <w:link w:val="FooterChar"/>
    <w:uiPriority w:val="99"/>
    <w:unhideWhenUsed/>
    <w:rsid w:val="00E71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microsoft.com/office/2007/relationships/hdphoto" Target="media/hdphoto2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1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3.png"/><Relationship Id="rId9" Type="http://schemas.microsoft.com/office/2007/relationships/hdphoto" Target="media/hdphoto3.wdp"/><Relationship Id="rId14" Type="http://schemas.openxmlformats.org/officeDocument/2006/relationships/hyperlink" Target="https://www.boi.org.il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_____Microsoft_Excel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_____Microsoft_Excel1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1!PivotTable1</c:name>
    <c:fmtId val="19"/>
  </c:pivotSource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400" b="0" i="0" u="none" strike="noStrike" kern="1200" spc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400" baseline="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א. משקי בית וסה"כ עסקים 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62301223307671993"/>
          <c:y val="2.6565802311360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r">
            <a:defRPr sz="1400" b="0" i="0" u="none" strike="noStrike" kern="1200" spc="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 w="28575" cap="rnd">
            <a:solidFill>
              <a:srgbClr val="6C63FF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6"/>
        <c:spPr>
          <a:solidFill>
            <a:schemeClr val="accent1"/>
          </a:solidFill>
          <a:ln w="28575" cap="rnd">
            <a:solidFill>
              <a:srgbClr val="6C63FF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8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0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1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13"/>
        <c:spPr>
          <a:solidFill>
            <a:schemeClr val="accent1"/>
          </a:solidFill>
          <a:ln w="28575" cap="rnd">
            <a:solidFill>
              <a:srgbClr val="6C63FF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6C63FF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15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6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7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8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9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0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22"/>
        <c:spPr>
          <a:solidFill>
            <a:schemeClr val="accent1"/>
          </a:solidFill>
          <a:ln w="28575" cap="rnd">
            <a:solidFill>
              <a:srgbClr val="6C63FF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23"/>
        <c:spPr>
          <a:solidFill>
            <a:schemeClr val="accent1"/>
          </a:solidFill>
          <a:ln w="28575" cap="rnd">
            <a:solidFill>
              <a:srgbClr val="6C63FF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24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25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26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</c:pivotFmts>
    <c:plotArea>
      <c:layout>
        <c:manualLayout>
          <c:layoutTarget val="inner"/>
          <c:xMode val="edge"/>
          <c:yMode val="edge"/>
          <c:x val="9.1956889614755177E-2"/>
          <c:y val="0.11988237072460184"/>
          <c:w val="0.88143463482599471"/>
          <c:h val="0.55500334197355761"/>
        </c:manualLayout>
      </c:layout>
      <c:lineChart>
        <c:grouping val="standard"/>
        <c:varyColors val="0"/>
        <c:ser>
          <c:idx val="0"/>
          <c:order val="0"/>
          <c:tx>
            <c:strRef>
              <c:f>'טבלאות תרשים 1'!$B$3:$B$4</c:f>
              <c:strCache>
                <c:ptCount val="1"/>
                <c:pt idx="0">
                  <c:v>דיור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dPt>
            <c:idx val="2"/>
            <c:marker>
              <c:symbol val="circle"/>
              <c:size val="5"/>
              <c:spPr>
                <a:solidFill>
                  <a:srgbClr val="008DA3"/>
                </a:solidFill>
                <a:ln w="9525">
                  <a:solidFill>
                    <a:srgbClr val="008DA3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008DA3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D1D-4321-B6C4-E6D488476724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008DA3"/>
                </a:solidFill>
                <a:ln w="9525">
                  <a:solidFill>
                    <a:srgbClr val="008DA3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008DA3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4D1D-4321-B6C4-E6D488476724}"/>
              </c:ext>
            </c:extLst>
          </c:dPt>
          <c:cat>
            <c:multiLvlStrRef>
              <c:f>'טבלאות תרשים 1'!$A$5:$A$10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1'!$B$5:$B$10</c:f>
              <c:numCache>
                <c:formatCode>General</c:formatCode>
                <c:ptCount val="4"/>
                <c:pt idx="0">
                  <c:v>48.888059116097779</c:v>
                </c:pt>
                <c:pt idx="1">
                  <c:v>47.538175828704922</c:v>
                </c:pt>
                <c:pt idx="2">
                  <c:v>24.742823519951543</c:v>
                </c:pt>
                <c:pt idx="3">
                  <c:v>2.1732501030869606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D1D-4321-B6C4-E6D488476724}"/>
            </c:ext>
          </c:extLst>
        </c:ser>
        <c:ser>
          <c:idx val="1"/>
          <c:order val="1"/>
          <c:tx>
            <c:strRef>
              <c:f>'טבלאות תרשים 1'!$C$3:$C$4</c:f>
              <c:strCache>
                <c:ptCount val="1"/>
                <c:pt idx="0">
                  <c:v>עסקים - סך הכל</c:v>
                </c:pt>
              </c:strCache>
            </c:strRef>
          </c:tx>
          <c:spPr>
            <a:ln w="28575" cap="rnd">
              <a:solidFill>
                <a:srgbClr val="6C63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C63FF"/>
              </a:solidFill>
              <a:ln w="9525">
                <a:solidFill>
                  <a:srgbClr val="6C63FF"/>
                </a:solidFill>
              </a:ln>
              <a:effectLst/>
            </c:spPr>
          </c:marker>
          <c:dPt>
            <c:idx val="2"/>
            <c:marker>
              <c:symbol val="circle"/>
              <c:size val="5"/>
              <c:spPr>
                <a:solidFill>
                  <a:srgbClr val="6C63FF"/>
                </a:solidFill>
                <a:ln w="9525">
                  <a:solidFill>
                    <a:srgbClr val="6C63FF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6C63FF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4D1D-4321-B6C4-E6D488476724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6C63FF"/>
                </a:solidFill>
                <a:ln w="9525">
                  <a:solidFill>
                    <a:srgbClr val="6C63FF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6C63FF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4D1D-4321-B6C4-E6D488476724}"/>
              </c:ext>
            </c:extLst>
          </c:dPt>
          <c:cat>
            <c:multiLvlStrRef>
              <c:f>'טבלאות תרשים 1'!$A$5:$A$10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1'!$C$5:$C$10</c:f>
              <c:numCache>
                <c:formatCode>General</c:formatCode>
                <c:ptCount val="4"/>
                <c:pt idx="0">
                  <c:v>-33.353123244700178</c:v>
                </c:pt>
                <c:pt idx="1">
                  <c:v>0</c:v>
                </c:pt>
                <c:pt idx="2">
                  <c:v>0</c:v>
                </c:pt>
                <c:pt idx="3">
                  <c:v>14.835963357203852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D1D-4321-B6C4-E6D488476724}"/>
            </c:ext>
          </c:extLst>
        </c:ser>
        <c:ser>
          <c:idx val="2"/>
          <c:order val="2"/>
          <c:tx>
            <c:strRef>
              <c:f>'טבלאות תרשים 1'!$D$3:$D$4</c:f>
              <c:strCache>
                <c:ptCount val="1"/>
                <c:pt idx="0">
                  <c:v>צרכני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dPt>
            <c:idx val="2"/>
            <c:marker>
              <c:symbol val="circle"/>
              <c:size val="5"/>
              <c:spPr>
                <a:solidFill>
                  <a:srgbClr val="D98D25"/>
                </a:solidFill>
                <a:ln w="9525">
                  <a:solidFill>
                    <a:srgbClr val="D98D25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D98D25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4D1D-4321-B6C4-E6D488476724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D98D25"/>
                </a:solidFill>
                <a:ln w="9525">
                  <a:solidFill>
                    <a:srgbClr val="D98D25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D98D25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4D1D-4321-B6C4-E6D488476724}"/>
              </c:ext>
            </c:extLst>
          </c:dPt>
          <c:cat>
            <c:multiLvlStrRef>
              <c:f>'טבלאות תרשים 1'!$A$5:$A$10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1'!$D$5:$D$10</c:f>
              <c:numCache>
                <c:formatCode>General</c:formatCode>
                <c:ptCount val="4"/>
                <c:pt idx="0">
                  <c:v>33.916860796901751</c:v>
                </c:pt>
                <c:pt idx="1">
                  <c:v>-25.405358684950812</c:v>
                </c:pt>
                <c:pt idx="2">
                  <c:v>13.135229482573729</c:v>
                </c:pt>
                <c:pt idx="3">
                  <c:v>28.398637997543204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4D1D-4321-B6C4-E6D4884767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5308968"/>
        <c:axId val="765309296"/>
      </c:lineChart>
      <c:catAx>
        <c:axId val="765308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765309296"/>
        <c:crossesAt val="-100"/>
        <c:auto val="1"/>
        <c:lblAlgn val="ctr"/>
        <c:lblOffset val="100"/>
        <c:noMultiLvlLbl val="0"/>
      </c:catAx>
      <c:valAx>
        <c:axId val="765309296"/>
        <c:scaling>
          <c:orientation val="minMax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7653089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109393405470334"/>
          <c:y val="0.91122905140702826"/>
          <c:w val="0.72766220205500176"/>
          <c:h val="6.40951156005897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1!PivotTable2</c:name>
    <c:fmtId val="23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ב. עסקים לפי גודל עסק וענפי הבינוי והנדל"ן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41695058908711469"/>
          <c:y val="2.62295081967213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 w="28575" cap="rnd">
            <a:solidFill>
              <a:srgbClr val="6C63FF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  <a:prstDash val="dash"/>
            </a:ln>
            <a:effectLst/>
          </c:spPr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357C32"/>
            </a:solidFill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 w="28575" cap="rnd">
            <a:solidFill>
              <a:srgbClr val="357C32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  <a:prstDash val="dash"/>
            </a:ln>
            <a:effectLst/>
          </c:spPr>
        </c:marker>
      </c:pivotFmt>
      <c:pivotFmt>
        <c:idx val="6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</c:marker>
      </c:pivotFmt>
      <c:pivotFmt>
        <c:idx val="8"/>
        <c:spPr>
          <a:solidFill>
            <a:schemeClr val="accent1"/>
          </a:solidFill>
          <a:ln w="28575" cap="rnd">
            <a:solidFill>
              <a:srgbClr val="D8758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0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1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2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3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357C32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15"/>
        <c:spPr>
          <a:solidFill>
            <a:schemeClr val="accent1"/>
          </a:solidFill>
          <a:ln w="28575" cap="rnd">
            <a:solidFill>
              <a:srgbClr val="002060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16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17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18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9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20"/>
        <c:spPr>
          <a:solidFill>
            <a:schemeClr val="accent1"/>
          </a:solidFill>
          <a:ln w="28575" cap="rnd">
            <a:solidFill>
              <a:srgbClr val="D8758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22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23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24"/>
        <c:spPr>
          <a:solidFill>
            <a:schemeClr val="accent1"/>
          </a:solidFill>
          <a:ln w="28575" cap="rnd">
            <a:solidFill>
              <a:srgbClr val="002060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25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6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7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8"/>
        <c:spPr>
          <a:solidFill>
            <a:schemeClr val="accent1"/>
          </a:solidFill>
          <a:ln w="28575" cap="rnd">
            <a:solidFill>
              <a:srgbClr val="357C32"/>
            </a:solidFill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29"/>
        <c:spPr>
          <a:solidFill>
            <a:schemeClr val="accent1"/>
          </a:solidFill>
          <a:ln w="28575" cap="rnd">
            <a:solidFill>
              <a:srgbClr val="357C32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  <a:prstDash val="dash"/>
            </a:ln>
            <a:effectLst/>
          </c:spPr>
        </c:marker>
      </c:pivotFmt>
      <c:pivotFmt>
        <c:idx val="30"/>
        <c:spPr>
          <a:solidFill>
            <a:schemeClr val="accent1"/>
          </a:solidFill>
          <a:ln w="28575" cap="rnd">
            <a:solidFill>
              <a:srgbClr val="357C32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31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32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33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34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35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36"/>
        <c:spPr>
          <a:solidFill>
            <a:schemeClr val="accent1"/>
          </a:solidFill>
          <a:ln w="28575" cap="rnd">
            <a:solidFill>
              <a:srgbClr val="D8758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37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38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39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40"/>
        <c:spPr>
          <a:solidFill>
            <a:schemeClr val="accent1"/>
          </a:solidFill>
          <a:ln w="28575" cap="rnd">
            <a:solidFill>
              <a:srgbClr val="002060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41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42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43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44"/>
        <c:spPr>
          <a:solidFill>
            <a:schemeClr val="accent1"/>
          </a:solidFill>
          <a:ln w="28575" cap="rnd">
            <a:solidFill>
              <a:srgbClr val="357C32"/>
            </a:solidFill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45"/>
        <c:spPr>
          <a:solidFill>
            <a:schemeClr val="accent1"/>
          </a:solidFill>
          <a:ln w="28575" cap="rnd">
            <a:solidFill>
              <a:srgbClr val="357C32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  <a:prstDash val="dash"/>
            </a:ln>
            <a:effectLst/>
          </c:spPr>
        </c:marker>
      </c:pivotFmt>
      <c:pivotFmt>
        <c:idx val="46"/>
        <c:spPr>
          <a:solidFill>
            <a:schemeClr val="accent1"/>
          </a:solidFill>
          <a:ln w="28575" cap="rnd">
            <a:solidFill>
              <a:srgbClr val="357C32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47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48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49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</c:pivotFmts>
    <c:plotArea>
      <c:layout>
        <c:manualLayout>
          <c:layoutTarget val="inner"/>
          <c:xMode val="edge"/>
          <c:yMode val="edge"/>
          <c:x val="9.9636097284879571E-2"/>
          <c:y val="0.12758331503382794"/>
          <c:w val="0.86413832520406419"/>
          <c:h val="0.52681420727132877"/>
        </c:manualLayout>
      </c:layout>
      <c:lineChart>
        <c:grouping val="standard"/>
        <c:varyColors val="0"/>
        <c:ser>
          <c:idx val="0"/>
          <c:order val="0"/>
          <c:tx>
            <c:strRef>
              <c:f>'טבלאות תרשים 1'!$G$3:$G$4</c:f>
              <c:strCache>
                <c:ptCount val="1"/>
                <c:pt idx="0">
                  <c:v>ענף הבינוי</c:v>
                </c:pt>
              </c:strCache>
            </c:strRef>
          </c:tx>
          <c:spPr>
            <a:ln w="28575" cap="rnd">
              <a:solidFill>
                <a:srgbClr val="D8758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87585"/>
              </a:solidFill>
              <a:ln w="9525">
                <a:solidFill>
                  <a:srgbClr val="D87585"/>
                </a:solidFill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rgbClr val="D87585"/>
                </a:solidFill>
                <a:ln w="9525">
                  <a:solidFill>
                    <a:srgbClr val="D87585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D87585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1BB-45D4-87DD-9956AB4A8A78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rgbClr val="D87585"/>
                </a:solidFill>
                <a:ln w="9525">
                  <a:solidFill>
                    <a:srgbClr val="D87585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D87585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1BB-45D4-87DD-9956AB4A8A78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D87585"/>
                </a:solidFill>
                <a:ln w="9525">
                  <a:solidFill>
                    <a:srgbClr val="D87585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D87585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1BB-45D4-87DD-9956AB4A8A78}"/>
              </c:ext>
            </c:extLst>
          </c:dPt>
          <c:cat>
            <c:multiLvlStrRef>
              <c:f>'טבלאות תרשים 1'!$F$5:$F$10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1'!$G$5:$G$10</c:f>
              <c:numCache>
                <c:formatCode>General</c:formatCode>
                <c:ptCount val="4"/>
                <c:pt idx="0">
                  <c:v>-7.3938900949778184</c:v>
                </c:pt>
                <c:pt idx="1">
                  <c:v>28.337336286999999</c:v>
                </c:pt>
                <c:pt idx="2">
                  <c:v>48.124578623855626</c:v>
                </c:pt>
                <c:pt idx="3">
                  <c:v>28.406995799914778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1BB-45D4-87DD-9956AB4A8A78}"/>
            </c:ext>
          </c:extLst>
        </c:ser>
        <c:ser>
          <c:idx val="1"/>
          <c:order val="1"/>
          <c:tx>
            <c:strRef>
              <c:f>'טבלאות תרשים 1'!$H$3:$H$4</c:f>
              <c:strCache>
                <c:ptCount val="1"/>
                <c:pt idx="0">
                  <c:v>ענף הנדל"ן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dPt>
            <c:idx val="2"/>
            <c:marker>
              <c:symbol val="circle"/>
              <c:size val="5"/>
              <c:spPr>
                <a:solidFill>
                  <a:srgbClr val="002060"/>
                </a:solidFill>
                <a:ln w="9525">
                  <a:solidFill>
                    <a:srgbClr val="002060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00206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51BB-45D4-87DD-9956AB4A8A78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002060"/>
                </a:solidFill>
                <a:ln w="9525">
                  <a:solidFill>
                    <a:srgbClr val="002060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002060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A-51BB-45D4-87DD-9956AB4A8A78}"/>
              </c:ext>
            </c:extLst>
          </c:dPt>
          <c:cat>
            <c:multiLvlStrRef>
              <c:f>'טבלאות תרשים 1'!$F$5:$F$10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1'!$H$5:$H$10</c:f>
              <c:numCache>
                <c:formatCode>General</c:formatCode>
                <c:ptCount val="4"/>
                <c:pt idx="0">
                  <c:v>-40.600966908162405</c:v>
                </c:pt>
                <c:pt idx="1">
                  <c:v>0</c:v>
                </c:pt>
                <c:pt idx="2">
                  <c:v>3.7403553282074808</c:v>
                </c:pt>
                <c:pt idx="3">
                  <c:v>-36.934884356873873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1BB-45D4-87DD-9956AB4A8A78}"/>
            </c:ext>
          </c:extLst>
        </c:ser>
        <c:ser>
          <c:idx val="2"/>
          <c:order val="2"/>
          <c:tx>
            <c:strRef>
              <c:f>'טבלאות תרשים 1'!$I$3:$I$4</c:f>
              <c:strCache>
                <c:ptCount val="1"/>
                <c:pt idx="0">
                  <c:v>עסקים בינוניים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dPt>
            <c:idx val="2"/>
            <c:marker>
              <c:symbol val="circle"/>
              <c:size val="5"/>
              <c:spPr>
                <a:solidFill>
                  <a:srgbClr val="008DA3"/>
                </a:solidFill>
                <a:ln w="9525">
                  <a:solidFill>
                    <a:srgbClr val="008DA3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008DA3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51BB-45D4-87DD-9956AB4A8A78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008DA3"/>
                </a:solidFill>
                <a:ln w="9525">
                  <a:solidFill>
                    <a:srgbClr val="008DA3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008DA3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51BB-45D4-87DD-9956AB4A8A78}"/>
              </c:ext>
            </c:extLst>
          </c:dPt>
          <c:cat>
            <c:multiLvlStrRef>
              <c:f>'טבלאות תרשים 1'!$F$5:$F$10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1'!$I$5:$I$10</c:f>
              <c:numCache>
                <c:formatCode>General</c:formatCode>
                <c:ptCount val="4"/>
                <c:pt idx="0">
                  <c:v>-32.983328747967015</c:v>
                </c:pt>
                <c:pt idx="1">
                  <c:v>34.783672077965214</c:v>
                </c:pt>
                <c:pt idx="2">
                  <c:v>35.081598319350817</c:v>
                </c:pt>
                <c:pt idx="3">
                  <c:v>16.232759172962329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51BB-45D4-87DD-9956AB4A8A78}"/>
            </c:ext>
          </c:extLst>
        </c:ser>
        <c:ser>
          <c:idx val="3"/>
          <c:order val="3"/>
          <c:tx>
            <c:strRef>
              <c:f>'טבלאות תרשים 1'!$J$3:$J$4</c:f>
              <c:strCache>
                <c:ptCount val="1"/>
                <c:pt idx="0">
                  <c:v>עסקים גדולים</c:v>
                </c:pt>
              </c:strCache>
            </c:strRef>
          </c:tx>
          <c:spPr>
            <a:ln w="28575" cap="rnd">
              <a:solidFill>
                <a:srgbClr val="357C3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357C32"/>
              </a:solidFill>
              <a:ln w="9525">
                <a:solidFill>
                  <a:srgbClr val="357C32"/>
                </a:solidFill>
              </a:ln>
              <a:effectLst/>
            </c:spPr>
          </c:marker>
          <c:dPt>
            <c:idx val="2"/>
            <c:marker>
              <c:symbol val="circle"/>
              <c:size val="5"/>
              <c:spPr>
                <a:solidFill>
                  <a:srgbClr val="357C32"/>
                </a:solidFill>
                <a:ln w="9525">
                  <a:solidFill>
                    <a:srgbClr val="357C32"/>
                  </a:solidFill>
                  <a:prstDash val="dash"/>
                </a:ln>
                <a:effectLst/>
              </c:spPr>
            </c:marker>
            <c:bubble3D val="0"/>
            <c:spPr>
              <a:ln w="28575" cap="rnd">
                <a:solidFill>
                  <a:srgbClr val="357C32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2-51BB-45D4-87DD-9956AB4A8A78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357C32"/>
                </a:solidFill>
                <a:ln w="9525">
                  <a:solidFill>
                    <a:srgbClr val="357C32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357C32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4-51BB-45D4-87DD-9956AB4A8A78}"/>
              </c:ext>
            </c:extLst>
          </c:dPt>
          <c:cat>
            <c:multiLvlStrRef>
              <c:f>'טבלאות תרשים 1'!$F$5:$F$10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1'!$J$5:$J$10</c:f>
              <c:numCache>
                <c:formatCode>General</c:formatCode>
                <c:ptCount val="4"/>
                <c:pt idx="0">
                  <c:v>-52.700357952258102</c:v>
                </c:pt>
                <c:pt idx="1">
                  <c:v>0</c:v>
                </c:pt>
                <c:pt idx="2">
                  <c:v>1.4931210104955206</c:v>
                </c:pt>
                <c:pt idx="3">
                  <c:v>10.444872779368666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51BB-45D4-87DD-9956AB4A8A78}"/>
            </c:ext>
          </c:extLst>
        </c:ser>
        <c:ser>
          <c:idx val="4"/>
          <c:order val="4"/>
          <c:tx>
            <c:strRef>
              <c:f>'טבלאות תרשים 1'!$K$3:$K$4</c:f>
              <c:strCache>
                <c:ptCount val="1"/>
                <c:pt idx="0">
                  <c:v>עסקים זעירים וקטנים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dPt>
            <c:idx val="2"/>
            <c:marker>
              <c:symbol val="circle"/>
              <c:size val="5"/>
              <c:spPr>
                <a:solidFill>
                  <a:srgbClr val="D98D25"/>
                </a:solidFill>
                <a:ln w="9525">
                  <a:solidFill>
                    <a:srgbClr val="D98D25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D98D25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7-51BB-45D4-87DD-9956AB4A8A78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D98D25"/>
                </a:solidFill>
                <a:ln w="9525">
                  <a:solidFill>
                    <a:srgbClr val="D98D25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D98D25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9-51BB-45D4-87DD-9956AB4A8A78}"/>
              </c:ext>
            </c:extLst>
          </c:dPt>
          <c:cat>
            <c:multiLvlStrRef>
              <c:f>'טבלאות תרשים 1'!$F$5:$F$10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1'!$K$5:$K$10</c:f>
              <c:numCache>
                <c:formatCode>General</c:formatCode>
                <c:ptCount val="4"/>
                <c:pt idx="0">
                  <c:v>29.569823856954837</c:v>
                </c:pt>
                <c:pt idx="1">
                  <c:v>56.930939943172277</c:v>
                </c:pt>
                <c:pt idx="2">
                  <c:v>8.7490614426825015</c:v>
                </c:pt>
                <c:pt idx="3">
                  <c:v>40.934279516918131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51BB-45D4-87DD-9956AB4A8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1717416"/>
        <c:axId val="771717744"/>
      </c:lineChart>
      <c:catAx>
        <c:axId val="771717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771717744"/>
        <c:crossesAt val="-100"/>
        <c:auto val="0"/>
        <c:lblAlgn val="ctr"/>
        <c:lblOffset val="100"/>
        <c:noMultiLvlLbl val="0"/>
      </c:catAx>
      <c:valAx>
        <c:axId val="771717744"/>
        <c:scaling>
          <c:orientation val="minMax"/>
          <c:max val="10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7717174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"/>
          <c:y val="0.85708546391860385"/>
          <c:w val="1"/>
          <c:h val="0.14291453608139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2!גרף 2 א 1</c:name>
    <c:fmtId val="9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עסקים קטנים וזעירים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6914046687356632"/>
          <c:y val="1.725441829999188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rgbClr val="008DA3"/>
          </a:solidFill>
          <a:ln>
            <a:noFill/>
          </a:ln>
          <a:effectLst/>
        </c:spPr>
      </c:pivotFmt>
      <c:pivotFmt>
        <c:idx val="1"/>
        <c:spPr>
          <a:solidFill>
            <a:srgbClr val="6C63FF"/>
          </a:solidFill>
          <a:ln>
            <a:noFill/>
          </a:ln>
          <a:effectLst/>
        </c:spPr>
      </c:pivotFmt>
      <c:pivotFmt>
        <c:idx val="2"/>
        <c:spPr>
          <a:solidFill>
            <a:srgbClr val="D98D25"/>
          </a:solidFill>
          <a:ln>
            <a:noFill/>
          </a:ln>
          <a:effectLst/>
        </c:spPr>
      </c:pivotFmt>
      <c:pivotFmt>
        <c:idx val="3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pPr>
            <a:noFill/>
            <a:ln w="9525">
              <a:noFill/>
            </a:ln>
            <a:effectLst/>
          </c:spPr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</c:pivotFmt>
      <c:pivotFmt>
        <c:idx val="5"/>
        <c:spPr>
          <a:solidFill>
            <a:srgbClr val="D87585"/>
          </a:solidFill>
          <a:ln>
            <a:noFill/>
          </a:ln>
          <a:effectLst/>
        </c:spPr>
      </c:pivotFmt>
      <c:pivotFmt>
        <c:idx val="6"/>
      </c:pivotFmt>
      <c:pivotFmt>
        <c:idx val="7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6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7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8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9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20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9.5601346710828927E-2"/>
          <c:y val="8.3250330888126153E-2"/>
          <c:w val="0.90439865328917113"/>
          <c:h val="0.58904870055156699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'טבלאות תרשים 2'!$U$3:$U$4</c:f>
              <c:strCache>
                <c:ptCount val="1"/>
                <c:pt idx="0">
                  <c:v>מטרת האשראי או המניע לאשראי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2'!$S$5:$S$9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2'!$U$5:$U$9</c:f>
              <c:numCache>
                <c:formatCode>General</c:formatCode>
                <c:ptCount val="3"/>
                <c:pt idx="0">
                  <c:v>14.771314634017255</c:v>
                </c:pt>
                <c:pt idx="1">
                  <c:v>0.84897133963660409</c:v>
                </c:pt>
                <c:pt idx="2">
                  <c:v>14.726132104190548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6E-41DA-81A2-B3E738D7C001}"/>
            </c:ext>
          </c:extLst>
        </c:ser>
        <c:ser>
          <c:idx val="2"/>
          <c:order val="2"/>
          <c:tx>
            <c:strRef>
              <c:f>'טבלאות תרשים 2'!$V$3:$V$4</c:f>
              <c:strCache>
                <c:ptCount val="1"/>
                <c:pt idx="0">
                  <c:v>רמת הריבית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2'!$S$5:$S$9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2'!$V$5:$V$9</c:f>
              <c:numCache>
                <c:formatCode>General</c:formatCode>
                <c:ptCount val="3"/>
                <c:pt idx="0">
                  <c:v>-26.845903585922152</c:v>
                </c:pt>
                <c:pt idx="1">
                  <c:v>-7.9728417619681089</c:v>
                </c:pt>
                <c:pt idx="2">
                  <c:v>4.1942509904916117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6E-41DA-81A2-B3E738D7C001}"/>
            </c:ext>
          </c:extLst>
        </c:ser>
        <c:ser>
          <c:idx val="3"/>
          <c:order val="3"/>
          <c:tx>
            <c:strRef>
              <c:f>'טבלאות תרשים 2'!$W$3:$W$4</c:f>
              <c:strCache>
                <c:ptCount val="1"/>
                <c:pt idx="0">
                  <c:v>שימוש בחלופות מימון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2'!$S$5:$S$9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2'!$W$5:$W$9</c:f>
              <c:numCache>
                <c:formatCode>General</c:formatCode>
                <c:ptCount val="3"/>
                <c:pt idx="0">
                  <c:v>-16.097905765818176</c:v>
                </c:pt>
                <c:pt idx="1">
                  <c:v>-3.6841858183852634</c:v>
                </c:pt>
                <c:pt idx="2">
                  <c:v>-1.9631981336210735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6E-41DA-81A2-B3E738D7C001}"/>
            </c:ext>
          </c:extLst>
        </c:ser>
        <c:ser>
          <c:idx val="4"/>
          <c:order val="4"/>
          <c:tx>
            <c:strRef>
              <c:f>'טבלאות תרשים 2'!$X$3:$X$4</c:f>
              <c:strCache>
                <c:ptCount val="1"/>
                <c:pt idx="0">
                  <c:v>מלאי והון חוזר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2'!$S$5:$S$9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2'!$X$5:$X$9</c:f>
              <c:numCache>
                <c:formatCode>General</c:formatCode>
                <c:ptCount val="3"/>
                <c:pt idx="0">
                  <c:v>64.945700292679348</c:v>
                </c:pt>
                <c:pt idx="1">
                  <c:v>18.859653665524561</c:v>
                </c:pt>
                <c:pt idx="2">
                  <c:v>18.708931020162581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6E-41DA-81A2-B3E738D7C0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35468432"/>
        <c:axId val="935465480"/>
      </c:barChart>
      <c:lineChart>
        <c:grouping val="standard"/>
        <c:varyColors val="0"/>
        <c:ser>
          <c:idx val="0"/>
          <c:order val="0"/>
          <c:tx>
            <c:strRef>
              <c:f>'טבלאות תרשים 2'!$T$3:$T$4</c:f>
              <c:strCache>
                <c:ptCount val="1"/>
                <c:pt idx="0">
                  <c:v>השינוי שחל בביקוש לאשראי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2'!$S$5:$S$9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2'!$T$5:$T$9</c:f>
              <c:numCache>
                <c:formatCode>General</c:formatCode>
                <c:ptCount val="3"/>
                <c:pt idx="0">
                  <c:v>29.569823856954837</c:v>
                </c:pt>
                <c:pt idx="1">
                  <c:v>56.930939943172277</c:v>
                </c:pt>
                <c:pt idx="2">
                  <c:v>8.7490614426825015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C6E-41DA-81A2-B3E738D7C0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468432"/>
        <c:axId val="935465480"/>
      </c:lineChart>
      <c:catAx>
        <c:axId val="93546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65480"/>
        <c:crosses val="autoZero"/>
        <c:auto val="1"/>
        <c:lblAlgn val="ctr"/>
        <c:lblOffset val="100"/>
        <c:noMultiLvlLbl val="0"/>
      </c:catAx>
      <c:valAx>
        <c:axId val="935465480"/>
        <c:scaling>
          <c:orientation val="minMax"/>
          <c:max val="200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6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9874687639498019"/>
          <c:w val="0.99966509710390239"/>
          <c:h val="0.101253123605019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2!גרף 2 א 4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בינוי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91864361365303882"/>
          <c:y val="2.216348023353917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9.5283649825574274E-2"/>
          <c:y val="7.4982026703183838E-2"/>
          <c:w val="0.90471635017442575"/>
          <c:h val="0.60415277471667439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'טבלאות תרשים 2'!$AI$3:$AI$4</c:f>
              <c:strCache>
                <c:ptCount val="1"/>
                <c:pt idx="0">
                  <c:v>מטרת האשראי או המניע לאשראי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2'!$AG$5:$AG$9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2'!$AI$5:$AI$9</c:f>
              <c:numCache>
                <c:formatCode>General</c:formatCode>
                <c:ptCount val="3"/>
                <c:pt idx="0">
                  <c:v>2.3372958741596546</c:v>
                </c:pt>
                <c:pt idx="1">
                  <c:v>0.29066127749999998</c:v>
                </c:pt>
                <c:pt idx="2">
                  <c:v>7.3076065854447441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1-4DE3-B6DE-ACEA4805871D}"/>
            </c:ext>
          </c:extLst>
        </c:ser>
        <c:ser>
          <c:idx val="2"/>
          <c:order val="2"/>
          <c:tx>
            <c:strRef>
              <c:f>'טבלאות תרשים 2'!$AJ$3:$AJ$4</c:f>
              <c:strCache>
                <c:ptCount val="1"/>
                <c:pt idx="0">
                  <c:v>מימון פרויקטים בליווי סגור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2'!$AG$5:$AG$9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2'!$AJ$5:$AJ$9</c:f>
              <c:numCache>
                <c:formatCode>General</c:formatCode>
                <c:ptCount val="3"/>
                <c:pt idx="0">
                  <c:v>38.31409981838506</c:v>
                </c:pt>
                <c:pt idx="1">
                  <c:v>38.41126173</c:v>
                </c:pt>
                <c:pt idx="2">
                  <c:v>45.575630720363272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11-4DE3-B6DE-ACEA4805871D}"/>
            </c:ext>
          </c:extLst>
        </c:ser>
        <c:ser>
          <c:idx val="3"/>
          <c:order val="3"/>
          <c:tx>
            <c:strRef>
              <c:f>'טבלאות תרשים 2'!$AK$3:$AK$4</c:f>
              <c:strCache>
                <c:ptCount val="1"/>
                <c:pt idx="0">
                  <c:v>רמת הריבית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2'!$AG$5:$AG$9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2'!$AK$5:$AK$9</c:f>
              <c:numCache>
                <c:formatCode>General</c:formatCode>
                <c:ptCount val="3"/>
                <c:pt idx="0">
                  <c:v>-56.095217280131713</c:v>
                </c:pt>
                <c:pt idx="1">
                  <c:v>-43.347771237000003</c:v>
                </c:pt>
                <c:pt idx="2">
                  <c:v>7.2169154994783495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11-4DE3-B6DE-ACEA4805871D}"/>
            </c:ext>
          </c:extLst>
        </c:ser>
        <c:ser>
          <c:idx val="4"/>
          <c:order val="4"/>
          <c:tx>
            <c:strRef>
              <c:f>'טבלאות תרשים 2'!$AL$3:$AL$4</c:f>
              <c:strCache>
                <c:ptCount val="1"/>
                <c:pt idx="0">
                  <c:v>שימוש בחלופות מימון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2'!$AG$5:$AG$9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2'!$AL$5:$AL$9</c:f>
              <c:numCache>
                <c:formatCode>General</c:formatCode>
                <c:ptCount val="3"/>
                <c:pt idx="0">
                  <c:v>-12.312103011513063</c:v>
                </c:pt>
                <c:pt idx="1">
                  <c:v>-10.279494236750001</c:v>
                </c:pt>
                <c:pt idx="2">
                  <c:v>48.775482698428675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11-4DE3-B6DE-ACEA48058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35468432"/>
        <c:axId val="935465480"/>
      </c:barChart>
      <c:lineChart>
        <c:grouping val="standard"/>
        <c:varyColors val="0"/>
        <c:ser>
          <c:idx val="0"/>
          <c:order val="0"/>
          <c:tx>
            <c:strRef>
              <c:f>'טבלאות תרשים 2'!$AH$3:$AH$4</c:f>
              <c:strCache>
                <c:ptCount val="1"/>
                <c:pt idx="0">
                  <c:v>השינוי שחל בביקוש לאשראי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2'!$AG$5:$AG$9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2'!$AH$5:$AH$9</c:f>
              <c:numCache>
                <c:formatCode>General</c:formatCode>
                <c:ptCount val="3"/>
                <c:pt idx="0">
                  <c:v>-7.3938900949778184</c:v>
                </c:pt>
                <c:pt idx="1">
                  <c:v>28.337336286999999</c:v>
                </c:pt>
                <c:pt idx="2">
                  <c:v>48.124578623855626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F11-4DE3-B6DE-ACEA48058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468432"/>
        <c:axId val="935465480"/>
      </c:lineChart>
      <c:catAx>
        <c:axId val="93546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65480"/>
        <c:crosses val="autoZero"/>
        <c:auto val="1"/>
        <c:lblAlgn val="ctr"/>
        <c:lblOffset val="100"/>
        <c:noMultiLvlLbl val="0"/>
      </c:catAx>
      <c:valAx>
        <c:axId val="935465480"/>
        <c:scaling>
          <c:orientation val="minMax"/>
          <c:max val="200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6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714398946374808E-3"/>
          <c:y val="0.87536859522994404"/>
          <c:w val="0.99828560105362518"/>
          <c:h val="0.124631404770055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3!גרף 3 א</c:name>
    <c:fmtId val="7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א. מרווחים ברמת סיכון</a:t>
            </a:r>
            <a:r>
              <a:rPr lang="he-IL" sz="1400" baseline="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 בינונית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63109459317585304"/>
          <c:y val="1.960883921767843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3"/>
              </a:solidFill>
            </a:ln>
            <a:effectLst/>
          </c:spPr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6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1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13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3"/>
              </a:solidFill>
            </a:ln>
            <a:effectLst/>
          </c:spPr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5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1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18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9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20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3"/>
              </a:solidFill>
            </a:ln>
            <a:effectLst/>
          </c:spPr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22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24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</c:pivotFmts>
    <c:plotArea>
      <c:layout>
        <c:manualLayout>
          <c:layoutTarget val="inner"/>
          <c:xMode val="edge"/>
          <c:yMode val="edge"/>
          <c:x val="8.824744478882586E-2"/>
          <c:y val="0.10431276598899712"/>
          <c:w val="0.86204955046086862"/>
          <c:h val="0.54460616665341066"/>
        </c:manualLayout>
      </c:layout>
      <c:lineChart>
        <c:grouping val="standard"/>
        <c:varyColors val="0"/>
        <c:ser>
          <c:idx val="0"/>
          <c:order val="0"/>
          <c:tx>
            <c:strRef>
              <c:f>'טבלאות תרשים 3'!$B$3:$B$4</c:f>
              <c:strCache>
                <c:ptCount val="1"/>
                <c:pt idx="0">
                  <c:v>בינוי</c:v>
                </c:pt>
              </c:strCache>
            </c:strRef>
          </c:tx>
          <c:spPr>
            <a:ln w="28575" cap="rnd">
              <a:solidFill>
                <a:srgbClr val="D8758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87585"/>
              </a:solidFill>
              <a:ln w="9525">
                <a:solidFill>
                  <a:srgbClr val="D87585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3'!$B$5:$B$9</c:f>
              <c:numCache>
                <c:formatCode>General</c:formatCode>
                <c:ptCount val="3"/>
                <c:pt idx="0">
                  <c:v>-66.090939345601726</c:v>
                </c:pt>
                <c:pt idx="1">
                  <c:v>-79.580551563</c:v>
                </c:pt>
                <c:pt idx="2">
                  <c:v>-94.450527062516642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50-4240-A341-D0277A9B1E5E}"/>
            </c:ext>
          </c:extLst>
        </c:ser>
        <c:ser>
          <c:idx val="1"/>
          <c:order val="1"/>
          <c:tx>
            <c:strRef>
              <c:f>'טבלאות תרשים 3'!$C$3:$C$4</c:f>
              <c:strCache>
                <c:ptCount val="1"/>
                <c:pt idx="0">
                  <c:v>דיור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3'!$C$5:$C$9</c:f>
              <c:numCache>
                <c:formatCode>General</c:formatCode>
                <c:ptCount val="3"/>
                <c:pt idx="0">
                  <c:v>-58.796929473517594</c:v>
                </c:pt>
                <c:pt idx="1">
                  <c:v>-63.531385119572938</c:v>
                </c:pt>
                <c:pt idx="2">
                  <c:v>4.8901452272706587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50-4240-A341-D0277A9B1E5E}"/>
            </c:ext>
          </c:extLst>
        </c:ser>
        <c:ser>
          <c:idx val="2"/>
          <c:order val="2"/>
          <c:tx>
            <c:strRef>
              <c:f>'טבלאות תרשים 3'!$D$3:$D$4</c:f>
              <c:strCache>
                <c:ptCount val="1"/>
                <c:pt idx="0">
                  <c:v>נדל"ן</c:v>
                </c:pt>
              </c:strCache>
            </c:strRef>
          </c:tx>
          <c:spPr>
            <a:ln w="28575" cap="rnd">
              <a:solidFill>
                <a:srgbClr val="6C63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C63FF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3'!$D$5:$D$9</c:f>
              <c:numCache>
                <c:formatCode>General</c:formatCode>
                <c:ptCount val="3"/>
                <c:pt idx="0">
                  <c:v>-91.242610371264973</c:v>
                </c:pt>
                <c:pt idx="1">
                  <c:v>-79.838715352179833</c:v>
                </c:pt>
                <c:pt idx="2">
                  <c:v>-93.983683746187964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50-4240-A341-D0277A9B1E5E}"/>
            </c:ext>
          </c:extLst>
        </c:ser>
        <c:ser>
          <c:idx val="3"/>
          <c:order val="3"/>
          <c:tx>
            <c:strRef>
              <c:f>'טבלאות תרשים 3'!$E$3:$E$4</c:f>
              <c:strCache>
                <c:ptCount val="1"/>
                <c:pt idx="0">
                  <c:v>עסקים בינוניים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3'!$E$5:$E$9</c:f>
              <c:numCache>
                <c:formatCode>General</c:formatCode>
                <c:ptCount val="3"/>
                <c:pt idx="0">
                  <c:v>-67.060992417932937</c:v>
                </c:pt>
                <c:pt idx="1">
                  <c:v>-73.533776930326468</c:v>
                </c:pt>
                <c:pt idx="2">
                  <c:v>-44.693977485946938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050-4240-A341-D0277A9B1E5E}"/>
            </c:ext>
          </c:extLst>
        </c:ser>
        <c:ser>
          <c:idx val="4"/>
          <c:order val="4"/>
          <c:tx>
            <c:strRef>
              <c:f>'טבלאות תרשים 3'!$F$3:$F$4</c:f>
              <c:strCache>
                <c:ptCount val="1"/>
                <c:pt idx="0">
                  <c:v>עסקים גדולים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3'!$F$5:$F$9</c:f>
              <c:numCache>
                <c:formatCode>General</c:formatCode>
                <c:ptCount val="3"/>
                <c:pt idx="0">
                  <c:v>-81.333262546244001</c:v>
                </c:pt>
                <c:pt idx="1">
                  <c:v>-81.278122288756165</c:v>
                </c:pt>
                <c:pt idx="2">
                  <c:v>-82.366098035252904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050-4240-A341-D0277A9B1E5E}"/>
            </c:ext>
          </c:extLst>
        </c:ser>
        <c:ser>
          <c:idx val="5"/>
          <c:order val="5"/>
          <c:tx>
            <c:strRef>
              <c:f>'טבלאות תרשים 3'!$G$3:$G$4</c:f>
              <c:strCache>
                <c:ptCount val="1"/>
                <c:pt idx="0">
                  <c:v>עסקים קטנים וזעירים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3'!$G$5:$G$9</c:f>
              <c:numCache>
                <c:formatCode>General</c:formatCode>
                <c:ptCount val="3"/>
                <c:pt idx="0">
                  <c:v>-76.969999666023639</c:v>
                </c:pt>
                <c:pt idx="1">
                  <c:v>-59.69195148536123</c:v>
                </c:pt>
                <c:pt idx="2">
                  <c:v>-34.28655054213143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050-4240-A341-D0277A9B1E5E}"/>
            </c:ext>
          </c:extLst>
        </c:ser>
        <c:ser>
          <c:idx val="6"/>
          <c:order val="6"/>
          <c:tx>
            <c:strRef>
              <c:f>'טבלאות תרשים 3'!$H$3:$H$4</c:f>
              <c:strCache>
                <c:ptCount val="1"/>
                <c:pt idx="0">
                  <c:v>צרכני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3'!$H$5:$H$9</c:f>
              <c:numCache>
                <c:formatCode>General</c:formatCode>
                <c:ptCount val="3"/>
                <c:pt idx="0">
                  <c:v>-66.581487750299743</c:v>
                </c:pt>
                <c:pt idx="1">
                  <c:v>-58.388926487116777</c:v>
                </c:pt>
                <c:pt idx="2">
                  <c:v>-35.375446285729247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050-4240-A341-D0277A9B1E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424480"/>
        <c:axId val="935421528"/>
        <c:extLst/>
      </c:lineChart>
      <c:catAx>
        <c:axId val="93542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21528"/>
        <c:crosses val="autoZero"/>
        <c:auto val="1"/>
        <c:lblAlgn val="ctr"/>
        <c:lblOffset val="100"/>
        <c:noMultiLvlLbl val="0"/>
      </c:catAx>
      <c:valAx>
        <c:axId val="935421528"/>
        <c:scaling>
          <c:orientation val="minMax"/>
          <c:max val="10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2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50708661417324E-3"/>
          <c:y val="0.8457405787239558"/>
          <c:w val="0.99454929133858272"/>
          <c:h val="0.15425942127604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3!גרף 3 ב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ב. מרווחים ברמת סיכון גבוהה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62937270877950069"/>
          <c:y val="3.29112086795602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0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1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13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1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17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19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20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2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</c:pivotFmts>
    <c:plotArea>
      <c:layout>
        <c:manualLayout>
          <c:layoutTarget val="inner"/>
          <c:xMode val="edge"/>
          <c:yMode val="edge"/>
          <c:x val="9.7659252545042735E-2"/>
          <c:y val="0.10431276598899712"/>
          <c:w val="0.88146001678479857"/>
          <c:h val="0.50618793693618835"/>
        </c:manualLayout>
      </c:layout>
      <c:lineChart>
        <c:grouping val="standard"/>
        <c:varyColors val="0"/>
        <c:ser>
          <c:idx val="0"/>
          <c:order val="0"/>
          <c:tx>
            <c:strRef>
              <c:f>'טבלאות תרשים 3'!$L$3:$L$4</c:f>
              <c:strCache>
                <c:ptCount val="1"/>
                <c:pt idx="0">
                  <c:v>בינוי</c:v>
                </c:pt>
              </c:strCache>
            </c:strRef>
          </c:tx>
          <c:spPr>
            <a:ln w="28575" cap="rnd">
              <a:solidFill>
                <a:srgbClr val="D8758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87585"/>
              </a:solidFill>
              <a:ln w="9525">
                <a:solidFill>
                  <a:srgbClr val="D87585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3'!$L$5:$L$9</c:f>
              <c:numCache>
                <c:formatCode>General</c:formatCode>
                <c:ptCount val="3"/>
                <c:pt idx="0">
                  <c:v>2.184679518793446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FE-4473-B1E6-494DBDF1B202}"/>
            </c:ext>
          </c:extLst>
        </c:ser>
        <c:ser>
          <c:idx val="1"/>
          <c:order val="1"/>
          <c:tx>
            <c:strRef>
              <c:f>'טבלאות תרשים 3'!$M$3:$M$4</c:f>
              <c:strCache>
                <c:ptCount val="1"/>
                <c:pt idx="0">
                  <c:v>דיור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3'!$M$5:$M$9</c:f>
              <c:numCache>
                <c:formatCode>General</c:formatCode>
                <c:ptCount val="3"/>
                <c:pt idx="0">
                  <c:v>13.1497960314263</c:v>
                </c:pt>
                <c:pt idx="1">
                  <c:v>21.27471974885745</c:v>
                </c:pt>
                <c:pt idx="2">
                  <c:v>40.095033866059431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FE-4473-B1E6-494DBDF1B202}"/>
            </c:ext>
          </c:extLst>
        </c:ser>
        <c:ser>
          <c:idx val="2"/>
          <c:order val="2"/>
          <c:tx>
            <c:strRef>
              <c:f>'טבלאות תרשים 3'!$N$3:$N$4</c:f>
              <c:strCache>
                <c:ptCount val="1"/>
                <c:pt idx="0">
                  <c:v>נדל"ן</c:v>
                </c:pt>
              </c:strCache>
            </c:strRef>
          </c:tx>
          <c:spPr>
            <a:ln w="28575" cap="rnd">
              <a:solidFill>
                <a:srgbClr val="6C63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C63FF"/>
              </a:solidFill>
              <a:ln w="9525">
                <a:solidFill>
                  <a:srgbClr val="6C63FF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3'!$N$5:$N$9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FE-4473-B1E6-494DBDF1B202}"/>
            </c:ext>
          </c:extLst>
        </c:ser>
        <c:ser>
          <c:idx val="3"/>
          <c:order val="3"/>
          <c:tx>
            <c:strRef>
              <c:f>'טבלאות תרשים 3'!$O$3:$O$4</c:f>
              <c:strCache>
                <c:ptCount val="1"/>
                <c:pt idx="0">
                  <c:v>עסקים בינוניים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3'!$O$5:$O$9</c:f>
              <c:numCache>
                <c:formatCode>General</c:formatCode>
                <c:ptCount val="3"/>
                <c:pt idx="0">
                  <c:v>49.84993038145015</c:v>
                </c:pt>
                <c:pt idx="1">
                  <c:v>43.145480247956854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CFE-4473-B1E6-494DBDF1B202}"/>
            </c:ext>
          </c:extLst>
        </c:ser>
        <c:ser>
          <c:idx val="4"/>
          <c:order val="4"/>
          <c:tx>
            <c:strRef>
              <c:f>'טבלאות תרשים 3'!$P$3:$P$4</c:f>
              <c:strCache>
                <c:ptCount val="1"/>
                <c:pt idx="0">
                  <c:v>עסקים גדולים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3'!$P$5:$P$9</c:f>
              <c:numCache>
                <c:formatCode>General</c:formatCode>
                <c:ptCount val="3"/>
                <c:pt idx="0">
                  <c:v>10.375200383531126</c:v>
                </c:pt>
                <c:pt idx="1">
                  <c:v>8.9104081618732689</c:v>
                </c:pt>
                <c:pt idx="2">
                  <c:v>-15.425582625953723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CFE-4473-B1E6-494DBDF1B202}"/>
            </c:ext>
          </c:extLst>
        </c:ser>
        <c:ser>
          <c:idx val="5"/>
          <c:order val="5"/>
          <c:tx>
            <c:strRef>
              <c:f>'טבלאות תרשים 3'!$Q$3:$Q$4</c:f>
              <c:strCache>
                <c:ptCount val="1"/>
                <c:pt idx="0">
                  <c:v>עסקים קטנים וזעירים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3'!$Q$5:$Q$9</c:f>
              <c:numCache>
                <c:formatCode>General</c:formatCode>
                <c:ptCount val="3"/>
                <c:pt idx="0">
                  <c:v>-23.958981049387507</c:v>
                </c:pt>
                <c:pt idx="1">
                  <c:v>-25.501608870897993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CFE-4473-B1E6-494DBDF1B202}"/>
            </c:ext>
          </c:extLst>
        </c:ser>
        <c:ser>
          <c:idx val="6"/>
          <c:order val="6"/>
          <c:tx>
            <c:strRef>
              <c:f>'טבלאות תרשים 3'!$R$3:$R$4</c:f>
              <c:strCache>
                <c:ptCount val="1"/>
                <c:pt idx="0">
                  <c:v>צרכני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3'!$R$5:$R$9</c:f>
              <c:numCache>
                <c:formatCode>General</c:formatCode>
                <c:ptCount val="3"/>
                <c:pt idx="0">
                  <c:v>-13.927856785941783</c:v>
                </c:pt>
                <c:pt idx="1">
                  <c:v>-17.22493632453445</c:v>
                </c:pt>
                <c:pt idx="2">
                  <c:v>-8.3245190163833502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CFE-4473-B1E6-494DBDF1B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473352"/>
        <c:axId val="935472368"/>
      </c:lineChart>
      <c:catAx>
        <c:axId val="93547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72368"/>
        <c:crosses val="autoZero"/>
        <c:auto val="1"/>
        <c:lblAlgn val="ctr"/>
        <c:lblOffset val="100"/>
        <c:noMultiLvlLbl val="0"/>
      </c:catAx>
      <c:valAx>
        <c:axId val="935472368"/>
        <c:scaling>
          <c:orientation val="minMax"/>
          <c:max val="10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73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896100012814944E-3"/>
          <c:y val="0.81531140078626108"/>
          <c:w val="0.98621681267302452"/>
          <c:h val="0.184688599213738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5!PivotTable29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א.</a:t>
            </a:r>
            <a:r>
              <a:rPr lang="he-IL" sz="1400" baseline="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 אשראי לעסקים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75029678982434889"/>
          <c:y val="4.28581673192490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8.3974318828367714E-2"/>
          <c:y val="0.12200435729847495"/>
          <c:w val="0.9160256811716323"/>
          <c:h val="0.555636293651441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'טבלאות תרשים 5'!$B$3:$B$4</c:f>
              <c:strCache>
                <c:ptCount val="1"/>
                <c:pt idx="0">
                  <c:v>לחצי תחרות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5'!$B$5:$B$9</c:f>
              <c:numCache>
                <c:formatCode>General</c:formatCode>
                <c:ptCount val="3"/>
                <c:pt idx="0">
                  <c:v>-45.08382243193909</c:v>
                </c:pt>
                <c:pt idx="1">
                  <c:v>-49.428250642598854</c:v>
                </c:pt>
                <c:pt idx="2">
                  <c:v>-50.106956603384084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17-4B78-ADF3-11370448A685}"/>
            </c:ext>
          </c:extLst>
        </c:ser>
        <c:ser>
          <c:idx val="1"/>
          <c:order val="1"/>
          <c:tx>
            <c:strRef>
              <c:f>'טבלאות תרשים 5'!$C$3:$C$4</c:f>
              <c:strCache>
                <c:ptCount val="1"/>
                <c:pt idx="0">
                  <c:v>עלויות גיוס המקורות ומגבלות הרכב המאזן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5'!$C$5:$C$9</c:f>
              <c:numCache>
                <c:formatCode>General</c:formatCode>
                <c:ptCount val="3"/>
                <c:pt idx="0">
                  <c:v>-22.527219485869413</c:v>
                </c:pt>
                <c:pt idx="1">
                  <c:v>-18.011808378702689</c:v>
                </c:pt>
                <c:pt idx="2">
                  <c:v>-13.500200477094502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17-4B78-ADF3-11370448A685}"/>
            </c:ext>
          </c:extLst>
        </c:ser>
        <c:ser>
          <c:idx val="2"/>
          <c:order val="2"/>
          <c:tx>
            <c:strRef>
              <c:f>'טבלאות תרשים 5'!$D$3:$D$4</c:f>
              <c:strCache>
                <c:ptCount val="1"/>
                <c:pt idx="0">
                  <c:v>תאבון וקיבולת לסיכון אשראי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5'!$D$5:$D$9</c:f>
              <c:numCache>
                <c:formatCode>General</c:formatCode>
                <c:ptCount val="3"/>
                <c:pt idx="0">
                  <c:v>-24.533247020220799</c:v>
                </c:pt>
                <c:pt idx="1">
                  <c:v>-10.981724558021963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17-4B78-ADF3-11370448A685}"/>
            </c:ext>
          </c:extLst>
        </c:ser>
        <c:ser>
          <c:idx val="3"/>
          <c:order val="3"/>
          <c:tx>
            <c:strRef>
              <c:f>'טבלאות תרשים 5'!$E$3:$E$4</c:f>
              <c:strCache>
                <c:ptCount val="1"/>
                <c:pt idx="0">
                  <c:v>תפיסת סיכון בבנק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5'!$E$5:$E$9</c:f>
              <c:numCache>
                <c:formatCode>General</c:formatCode>
                <c:ptCount val="3"/>
                <c:pt idx="0">
                  <c:v>15.986020816877208</c:v>
                </c:pt>
                <c:pt idx="1">
                  <c:v>3.6605748526739879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17-4B78-ADF3-11370448A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5520288"/>
        <c:axId val="1035517664"/>
      </c:barChart>
      <c:lineChart>
        <c:grouping val="standard"/>
        <c:varyColors val="0"/>
        <c:ser>
          <c:idx val="4"/>
          <c:order val="4"/>
          <c:tx>
            <c:strRef>
              <c:f>'טבלאות תרשים 5'!$F$3:$F$4</c:f>
              <c:strCache>
                <c:ptCount val="1"/>
                <c:pt idx="0">
                  <c:v>השינוי שחל במרווחים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5'!$A$5:$A$9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5'!$F$5:$F$9</c:f>
              <c:numCache>
                <c:formatCode>General</c:formatCode>
                <c:ptCount val="3"/>
                <c:pt idx="0">
                  <c:v>-58.966442424530698</c:v>
                </c:pt>
                <c:pt idx="1">
                  <c:v>-57.244972258864493</c:v>
                </c:pt>
                <c:pt idx="2">
                  <c:v>-45.745872862870222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517-4B78-ADF3-11370448A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5520288"/>
        <c:axId val="1035517664"/>
      </c:lineChart>
      <c:catAx>
        <c:axId val="103552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35517664"/>
        <c:crosses val="autoZero"/>
        <c:auto val="1"/>
        <c:lblAlgn val="ctr"/>
        <c:lblOffset val="100"/>
        <c:noMultiLvlLbl val="0"/>
      </c:catAx>
      <c:valAx>
        <c:axId val="1035517664"/>
        <c:scaling>
          <c:orientation val="minMax"/>
          <c:max val="200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035520288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150363615615252"/>
          <c:w val="0.6181588201691709"/>
          <c:h val="0.178496363843847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5!PivotTable30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ב. אשראי לדיור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79116099890081126"/>
          <c:y val="2.155826412109445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8.9785808696438069E-2"/>
          <c:y val="0.10795645626263931"/>
          <c:w val="0.90750309726348766"/>
          <c:h val="0.53969957128651358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'טבלאות תרשים 5'!$J$3:$J$4</c:f>
              <c:strCache>
                <c:ptCount val="1"/>
                <c:pt idx="0">
                  <c:v>לחצי תחרות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5'!$H$5:$H$9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5'!$J$5:$J$9</c:f>
              <c:numCache>
                <c:formatCode>General</c:formatCode>
                <c:ptCount val="3"/>
                <c:pt idx="0">
                  <c:v>-93.867146401587732</c:v>
                </c:pt>
                <c:pt idx="1">
                  <c:v>-100</c:v>
                </c:pt>
                <c:pt idx="2">
                  <c:v>-75.779488555245322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9B-42B3-A299-191C48C1565E}"/>
            </c:ext>
          </c:extLst>
        </c:ser>
        <c:ser>
          <c:idx val="2"/>
          <c:order val="2"/>
          <c:tx>
            <c:strRef>
              <c:f>'טבלאות תרשים 5'!$K$3:$K$4</c:f>
              <c:strCache>
                <c:ptCount val="1"/>
                <c:pt idx="0">
                  <c:v>עלויות גיוס המקורות ומגבלות הרכב המאזן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5'!$H$5:$H$9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5'!$K$5:$K$9</c:f>
              <c:numCache>
                <c:formatCode>General</c:formatCode>
                <c:ptCount val="3"/>
                <c:pt idx="0">
                  <c:v>22.658702474045317</c:v>
                </c:pt>
                <c:pt idx="1">
                  <c:v>12.74530887057451</c:v>
                </c:pt>
                <c:pt idx="2">
                  <c:v>20.396323313777621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9B-42B3-A299-191C48C1565E}"/>
            </c:ext>
          </c:extLst>
        </c:ser>
        <c:ser>
          <c:idx val="3"/>
          <c:order val="3"/>
          <c:tx>
            <c:strRef>
              <c:f>'טבלאות תרשים 5'!$L$3:$L$4</c:f>
              <c:strCache>
                <c:ptCount val="1"/>
                <c:pt idx="0">
                  <c:v>תאבון וקיבולת לסיכון אשראי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5'!$H$5:$H$9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5'!$L$5:$L$9</c:f>
              <c:numCache>
                <c:formatCode>General</c:formatCode>
                <c:ptCount val="3"/>
                <c:pt idx="0">
                  <c:v>-2.1544678727043087</c:v>
                </c:pt>
                <c:pt idx="1">
                  <c:v>-2.1606373767956786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9B-42B3-A299-191C48C1565E}"/>
            </c:ext>
          </c:extLst>
        </c:ser>
        <c:ser>
          <c:idx val="4"/>
          <c:order val="4"/>
          <c:tx>
            <c:strRef>
              <c:f>'טבלאות תרשים 5'!$M$3:$M$4</c:f>
              <c:strCache>
                <c:ptCount val="1"/>
                <c:pt idx="0">
                  <c:v>תפיסת סיכון בבנק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5'!$H$5:$H$9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5'!$M$5:$M$9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-2.1732501030869606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9B-42B3-A299-191C48C15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0088800"/>
        <c:axId val="940105200"/>
      </c:barChart>
      <c:lineChart>
        <c:grouping val="standard"/>
        <c:varyColors val="0"/>
        <c:ser>
          <c:idx val="0"/>
          <c:order val="0"/>
          <c:tx>
            <c:strRef>
              <c:f>'טבלאות תרשים 5'!$I$3:$I$4</c:f>
              <c:strCache>
                <c:ptCount val="1"/>
                <c:pt idx="0">
                  <c:v>השינוי שחל במרווחים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5'!$H$5:$H$9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5'!$I$5:$I$9</c:f>
              <c:numCache>
                <c:formatCode>General</c:formatCode>
                <c:ptCount val="3"/>
                <c:pt idx="0">
                  <c:v>-22.823566721045648</c:v>
                </c:pt>
                <c:pt idx="1">
                  <c:v>-21.128332685357744</c:v>
                </c:pt>
                <c:pt idx="2">
                  <c:v>22.492589546665045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B9B-42B3-A299-191C48C15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0088800"/>
        <c:axId val="940105200"/>
      </c:lineChart>
      <c:catAx>
        <c:axId val="94008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940105200"/>
        <c:crosses val="autoZero"/>
        <c:auto val="1"/>
        <c:lblAlgn val="ctr"/>
        <c:lblOffset val="100"/>
        <c:noMultiLvlLbl val="0"/>
      </c:catAx>
      <c:valAx>
        <c:axId val="940105200"/>
        <c:scaling>
          <c:orientation val="minMax"/>
          <c:max val="200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94008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109332866077539E-3"/>
          <c:y val="0.82674358774460122"/>
          <c:w val="0.59776262723257145"/>
          <c:h val="0.173256412255398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5!PivotTable31</c:name>
    <c:fmtId val="38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ג. אשראי צרכני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79152579972122805"/>
          <c:y val="7.43807301095673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8.6741248835529597E-2"/>
          <c:y val="7.7746695022270329E-2"/>
          <c:w val="0.89989768544862825"/>
          <c:h val="0.57362928859449203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'טבלאות תרשים 5'!$Q$3:$Q$4</c:f>
              <c:strCache>
                <c:ptCount val="1"/>
                <c:pt idx="0">
                  <c:v>לחצי תחרות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5'!$Q$5:$Q$9</c:f>
              <c:numCache>
                <c:formatCode>General</c:formatCode>
                <c:ptCount val="3"/>
                <c:pt idx="0">
                  <c:v>-98.665359882095999</c:v>
                </c:pt>
                <c:pt idx="1">
                  <c:v>-99.611458273799229</c:v>
                </c:pt>
                <c:pt idx="2">
                  <c:v>-50.346578741499307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0-49B9-A7BE-3E0A625C8F4A}"/>
            </c:ext>
          </c:extLst>
        </c:ser>
        <c:ser>
          <c:idx val="2"/>
          <c:order val="2"/>
          <c:tx>
            <c:strRef>
              <c:f>'טבלאות תרשים 5'!$R$3:$R$4</c:f>
              <c:strCache>
                <c:ptCount val="1"/>
                <c:pt idx="0">
                  <c:v>עלויות גיוס המקורות ומגבלות הרכב המאזן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5'!$R$5:$R$9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D0-49B9-A7BE-3E0A625C8F4A}"/>
            </c:ext>
          </c:extLst>
        </c:ser>
        <c:ser>
          <c:idx val="3"/>
          <c:order val="3"/>
          <c:tx>
            <c:strRef>
              <c:f>'טבלאות תרשים 5'!$S$3:$S$4</c:f>
              <c:strCache>
                <c:ptCount val="1"/>
                <c:pt idx="0">
                  <c:v>תאבון וקיבולת לסיכון אשראי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5'!$S$5:$S$9</c:f>
              <c:numCache>
                <c:formatCode>General</c:formatCode>
                <c:ptCount val="3"/>
                <c:pt idx="0">
                  <c:v>0</c:v>
                </c:pt>
                <c:pt idx="1">
                  <c:v>-22.306118013044614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D0-49B9-A7BE-3E0A625C8F4A}"/>
            </c:ext>
          </c:extLst>
        </c:ser>
        <c:ser>
          <c:idx val="4"/>
          <c:order val="4"/>
          <c:tx>
            <c:strRef>
              <c:f>'טבלאות תרשים 5'!$T$3:$T$4</c:f>
              <c:strCache>
                <c:ptCount val="1"/>
                <c:pt idx="0">
                  <c:v>תפיסת סיכון בבנק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5'!$T$5:$T$9</c:f>
              <c:numCache>
                <c:formatCode>General</c:formatCode>
                <c:ptCount val="3"/>
                <c:pt idx="0">
                  <c:v>0.18936644820056811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D0-49B9-A7BE-3E0A625C8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9071736"/>
        <c:axId val="1039065176"/>
      </c:barChart>
      <c:lineChart>
        <c:grouping val="standard"/>
        <c:varyColors val="0"/>
        <c:ser>
          <c:idx val="0"/>
          <c:order val="0"/>
          <c:tx>
            <c:strRef>
              <c:f>'טבלאות תרשים 5'!$P$3:$P$4</c:f>
              <c:strCache>
                <c:ptCount val="1"/>
                <c:pt idx="0">
                  <c:v>השינוי שחל במרווחים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5'!$O$5:$O$9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5'!$P$5:$P$9</c:f>
              <c:numCache>
                <c:formatCode>General</c:formatCode>
                <c:ptCount val="3"/>
                <c:pt idx="0">
                  <c:v>-40.254672268120764</c:v>
                </c:pt>
                <c:pt idx="1">
                  <c:v>-37.806931405825615</c:v>
                </c:pt>
                <c:pt idx="2">
                  <c:v>-21.849982651056301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2D0-49B9-A7BE-3E0A625C8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9071736"/>
        <c:axId val="1039065176"/>
      </c:lineChart>
      <c:catAx>
        <c:axId val="1039071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39065176"/>
        <c:crosses val="autoZero"/>
        <c:auto val="1"/>
        <c:lblAlgn val="ctr"/>
        <c:lblOffset val="100"/>
        <c:noMultiLvlLbl val="0"/>
      </c:catAx>
      <c:valAx>
        <c:axId val="1039065176"/>
        <c:scaling>
          <c:orientation val="minMax"/>
          <c:max val="200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39071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658965963438343E-2"/>
          <c:y val="0.81980417118518867"/>
          <c:w val="0.57894861753886318"/>
          <c:h val="0.180195828814811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0F54-1E81-47BF-901B-8B8CB4D9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601</Words>
  <Characters>3085</Characters>
  <Application>Microsoft Office Word</Application>
  <DocSecurity>0</DocSecurity>
  <Lines>192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רמסיס גרא</dc:creator>
  <cp:keywords/>
  <dc:description/>
  <cp:lastModifiedBy>רוסול דכוור</cp:lastModifiedBy>
  <cp:revision>3</cp:revision>
  <dcterms:created xsi:type="dcterms:W3CDTF">2025-04-09T07:36:00Z</dcterms:created>
  <dcterms:modified xsi:type="dcterms:W3CDTF">2025-04-09T07:48:00Z</dcterms:modified>
</cp:coreProperties>
</file>