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C927DB" w:rsidRPr="0052436D" w:rsidTr="00966F89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7DB" w:rsidRPr="0052436D" w:rsidRDefault="00C927DB" w:rsidP="00966F89">
            <w:pPr>
              <w:spacing w:line="480" w:lineRule="auto"/>
              <w:ind w:left="97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2436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C927DB" w:rsidRPr="0052436D" w:rsidRDefault="00C927DB" w:rsidP="00966F89">
            <w:pPr>
              <w:spacing w:line="480" w:lineRule="auto"/>
              <w:ind w:left="97"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27DB" w:rsidRPr="0052436D" w:rsidRDefault="00C927DB" w:rsidP="00966F8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79F8FF13" wp14:editId="605E6A6C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7DB" w:rsidRPr="0052436D" w:rsidRDefault="00C927DB" w:rsidP="00B537E8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sz w:val="24"/>
                <w:szCs w:val="24"/>
                <w:rtl/>
              </w:rPr>
              <w:t xml:space="preserve">‏ירושלים, 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י"ח</w:t>
            </w:r>
            <w:r w:rsidRPr="0052436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בטבת</w:t>
            </w:r>
            <w:r w:rsidRPr="0052436D">
              <w:rPr>
                <w:rFonts w:ascii="David" w:hAnsi="David" w:cs="David"/>
                <w:sz w:val="24"/>
                <w:szCs w:val="24"/>
                <w:rtl/>
              </w:rPr>
              <w:t>, תשפ"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</w:p>
          <w:p w:rsidR="00C927DB" w:rsidRPr="0052436D" w:rsidRDefault="00B537E8" w:rsidP="00B537E8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  <w:r w:rsidR="00C927DB" w:rsidRPr="0052436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בינואר</w:t>
            </w:r>
            <w:r w:rsidR="00C927DB" w:rsidRPr="0052436D">
              <w:rPr>
                <w:rFonts w:ascii="David" w:hAnsi="David" w:cs="David"/>
                <w:sz w:val="24"/>
                <w:szCs w:val="24"/>
                <w:rtl/>
              </w:rPr>
              <w:t xml:space="preserve"> 20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23</w:t>
            </w:r>
          </w:p>
        </w:tc>
      </w:tr>
    </w:tbl>
    <w:p w:rsidR="00C927DB" w:rsidRPr="00C43C4A" w:rsidRDefault="00C927DB" w:rsidP="00C927DB">
      <w:pPr>
        <w:rPr>
          <w:rFonts w:ascii="David" w:hAnsi="David" w:cs="David"/>
          <w:sz w:val="24"/>
          <w:szCs w:val="24"/>
          <w:rtl/>
        </w:rPr>
      </w:pPr>
      <w:r w:rsidRPr="00C43C4A">
        <w:rPr>
          <w:rFonts w:ascii="David" w:hAnsi="David" w:cs="David"/>
          <w:sz w:val="24"/>
          <w:szCs w:val="24"/>
          <w:rtl/>
        </w:rPr>
        <w:t xml:space="preserve">הודעה לעיתונות: </w:t>
      </w:r>
    </w:p>
    <w:p w:rsidR="00D77306" w:rsidRDefault="00C43C4A" w:rsidP="00DA4F4D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43C4A">
        <w:rPr>
          <w:rFonts w:ascii="David" w:hAnsi="David" w:cs="David"/>
          <w:b/>
          <w:bCs/>
          <w:sz w:val="28"/>
          <w:szCs w:val="28"/>
          <w:rtl/>
        </w:rPr>
        <w:t xml:space="preserve">נסיעת נגיד בנק ישראל, פרופ׳ אמיר ירון </w:t>
      </w:r>
      <w:r w:rsidR="00E435CF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DA4F4D">
        <w:rPr>
          <w:rFonts w:ascii="David" w:hAnsi="David" w:cs="David" w:hint="cs"/>
          <w:b/>
          <w:bCs/>
          <w:sz w:val="28"/>
          <w:szCs w:val="28"/>
          <w:rtl/>
        </w:rPr>
        <w:t>באזל ב</w:t>
      </w:r>
      <w:r w:rsidR="00E435CF">
        <w:rPr>
          <w:rFonts w:ascii="David" w:hAnsi="David" w:cs="David" w:hint="cs"/>
          <w:b/>
          <w:bCs/>
          <w:sz w:val="28"/>
          <w:szCs w:val="28"/>
          <w:rtl/>
        </w:rPr>
        <w:t>שוויץ ולסטוקה</w:t>
      </w:r>
      <w:r w:rsidR="00966FF7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="00E435CF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0660A7">
        <w:rPr>
          <w:rFonts w:ascii="David" w:hAnsi="David" w:cs="David" w:hint="cs"/>
          <w:b/>
          <w:bCs/>
          <w:sz w:val="28"/>
          <w:szCs w:val="28"/>
          <w:rtl/>
        </w:rPr>
        <w:t>ם</w:t>
      </w:r>
      <w:r w:rsidR="00DA4F4D">
        <w:rPr>
          <w:rFonts w:ascii="David" w:hAnsi="David" w:cs="David" w:hint="cs"/>
          <w:b/>
          <w:bCs/>
          <w:sz w:val="28"/>
          <w:szCs w:val="28"/>
          <w:rtl/>
        </w:rPr>
        <w:t xml:space="preserve"> בשוודיה</w:t>
      </w:r>
    </w:p>
    <w:p w:rsidR="00D77306" w:rsidRPr="00D77306" w:rsidRDefault="00D77306" w:rsidP="00D77306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386F33" w:rsidRPr="009B158C" w:rsidRDefault="00D77306" w:rsidP="00DA4F4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77306">
        <w:rPr>
          <w:rFonts w:ascii="David" w:hAnsi="David" w:cs="David"/>
          <w:sz w:val="24"/>
          <w:szCs w:val="24"/>
          <w:rtl/>
        </w:rPr>
        <w:t xml:space="preserve">נגיד בנק ישראל, פרופ׳ אמיר </w:t>
      </w:r>
      <w:r w:rsidR="00386F33">
        <w:rPr>
          <w:rFonts w:ascii="David" w:hAnsi="David" w:cs="David"/>
          <w:sz w:val="24"/>
          <w:szCs w:val="24"/>
          <w:rtl/>
        </w:rPr>
        <w:t>ירון, שב ארצה</w:t>
      </w:r>
      <w:r w:rsidR="00AB24B8">
        <w:rPr>
          <w:rFonts w:ascii="David" w:hAnsi="David" w:cs="David" w:hint="cs"/>
          <w:sz w:val="24"/>
          <w:szCs w:val="24"/>
          <w:rtl/>
        </w:rPr>
        <w:t xml:space="preserve"> </w:t>
      </w:r>
      <w:r w:rsidR="00C16DA0">
        <w:rPr>
          <w:rFonts w:ascii="David" w:hAnsi="David" w:cs="David" w:hint="cs"/>
          <w:sz w:val="24"/>
          <w:szCs w:val="24"/>
          <w:rtl/>
        </w:rPr>
        <w:t xml:space="preserve">היום </w:t>
      </w:r>
      <w:r w:rsidR="00E435CF">
        <w:rPr>
          <w:rFonts w:ascii="David" w:hAnsi="David" w:cs="David" w:hint="cs"/>
          <w:sz w:val="24"/>
          <w:szCs w:val="24"/>
          <w:rtl/>
        </w:rPr>
        <w:t xml:space="preserve">מנסיעתו לשוויץ </w:t>
      </w:r>
      <w:r w:rsidR="00DA4F4D">
        <w:rPr>
          <w:rFonts w:ascii="David" w:hAnsi="David" w:cs="David" w:hint="cs"/>
          <w:sz w:val="24"/>
          <w:szCs w:val="24"/>
          <w:rtl/>
        </w:rPr>
        <w:t>ולשוודיה. בשוודיה</w:t>
      </w:r>
      <w:r w:rsidR="00744030">
        <w:rPr>
          <w:rFonts w:ascii="David" w:hAnsi="David" w:cs="David" w:hint="cs"/>
          <w:sz w:val="24"/>
          <w:szCs w:val="24"/>
          <w:rtl/>
        </w:rPr>
        <w:t xml:space="preserve"> השתתף </w:t>
      </w:r>
      <w:r w:rsidR="00DA4F4D">
        <w:rPr>
          <w:rFonts w:ascii="David" w:hAnsi="David" w:cs="David" w:hint="cs"/>
          <w:sz w:val="24"/>
          <w:szCs w:val="24"/>
          <w:rtl/>
        </w:rPr>
        <w:t>הנגיד</w:t>
      </w:r>
      <w:r w:rsidR="00765007">
        <w:rPr>
          <w:rFonts w:ascii="David" w:hAnsi="David" w:cs="David" w:hint="cs"/>
          <w:sz w:val="24"/>
          <w:szCs w:val="24"/>
          <w:rtl/>
        </w:rPr>
        <w:t xml:space="preserve"> </w:t>
      </w:r>
      <w:r w:rsidR="00744030">
        <w:rPr>
          <w:rFonts w:ascii="David" w:hAnsi="David" w:cs="David" w:hint="cs"/>
          <w:sz w:val="24"/>
          <w:szCs w:val="24"/>
          <w:rtl/>
        </w:rPr>
        <w:t>בכנס</w:t>
      </w:r>
      <w:r w:rsidR="00386F33">
        <w:rPr>
          <w:rFonts w:ascii="David" w:hAnsi="David" w:cs="David" w:hint="cs"/>
          <w:sz w:val="24"/>
          <w:szCs w:val="24"/>
          <w:rtl/>
        </w:rPr>
        <w:t xml:space="preserve"> </w:t>
      </w:r>
      <w:r w:rsidR="009B158C" w:rsidRPr="009B158C">
        <w:rPr>
          <w:rFonts w:ascii="David" w:hAnsi="David" w:cs="David"/>
          <w:sz w:val="24"/>
          <w:szCs w:val="24"/>
          <w:rtl/>
        </w:rPr>
        <w:t xml:space="preserve">לציון סוף </w:t>
      </w:r>
      <w:r w:rsidR="009165A7">
        <w:rPr>
          <w:rFonts w:ascii="David" w:hAnsi="David" w:cs="David" w:hint="cs"/>
          <w:sz w:val="24"/>
          <w:szCs w:val="24"/>
          <w:rtl/>
        </w:rPr>
        <w:t>כהונתו</w:t>
      </w:r>
      <w:r w:rsidR="009B158C" w:rsidRPr="009B158C">
        <w:rPr>
          <w:rFonts w:ascii="David" w:hAnsi="David" w:cs="David"/>
          <w:sz w:val="24"/>
          <w:szCs w:val="24"/>
          <w:rtl/>
        </w:rPr>
        <w:t xml:space="preserve"> של סטפן אינגבס</w:t>
      </w:r>
      <w:r w:rsidR="009165A7">
        <w:rPr>
          <w:rFonts w:ascii="David" w:hAnsi="David" w:cs="David" w:hint="cs"/>
          <w:sz w:val="24"/>
          <w:szCs w:val="24"/>
          <w:rtl/>
        </w:rPr>
        <w:t xml:space="preserve"> (</w:t>
      </w:r>
      <w:r w:rsidR="009165A7" w:rsidRPr="009165A7">
        <w:rPr>
          <w:rFonts w:ascii="David" w:hAnsi="David" w:cs="David"/>
          <w:sz w:val="24"/>
          <w:szCs w:val="24"/>
        </w:rPr>
        <w:t>Stefan Ingves</w:t>
      </w:r>
      <w:bookmarkStart w:id="0" w:name="_GoBack"/>
      <w:bookmarkEnd w:id="0"/>
      <w:r w:rsidR="009165A7">
        <w:rPr>
          <w:rFonts w:ascii="David" w:hAnsi="David" w:cs="David" w:hint="cs"/>
          <w:sz w:val="24"/>
          <w:szCs w:val="24"/>
          <w:rtl/>
        </w:rPr>
        <w:t>)</w:t>
      </w:r>
      <w:r w:rsidR="009B158C" w:rsidRPr="009B158C">
        <w:rPr>
          <w:rFonts w:ascii="David" w:hAnsi="David" w:cs="David"/>
          <w:sz w:val="24"/>
          <w:szCs w:val="24"/>
          <w:rtl/>
        </w:rPr>
        <w:t xml:space="preserve"> כנגיד ה</w:t>
      </w:r>
      <w:r w:rsidR="009165A7">
        <w:rPr>
          <w:rFonts w:ascii="David" w:hAnsi="David" w:cs="David" w:hint="cs"/>
          <w:sz w:val="24"/>
          <w:szCs w:val="24"/>
          <w:rtl/>
        </w:rPr>
        <w:t>בנק המרכזי של שוודיה (ה</w:t>
      </w:r>
      <w:r w:rsidR="009B158C" w:rsidRPr="009B158C">
        <w:rPr>
          <w:rFonts w:ascii="David" w:hAnsi="David" w:cs="David"/>
          <w:sz w:val="24"/>
          <w:szCs w:val="24"/>
          <w:rtl/>
        </w:rPr>
        <w:t>-</w:t>
      </w:r>
      <w:r w:rsidR="009B158C" w:rsidRPr="009B158C">
        <w:rPr>
          <w:rFonts w:ascii="David" w:hAnsi="David" w:cs="David"/>
          <w:sz w:val="24"/>
          <w:szCs w:val="24"/>
        </w:rPr>
        <w:t>Riksbank</w:t>
      </w:r>
      <w:r w:rsidR="009165A7">
        <w:rPr>
          <w:rFonts w:ascii="David" w:hAnsi="David" w:cs="David" w:hint="cs"/>
          <w:sz w:val="24"/>
          <w:szCs w:val="24"/>
          <w:rtl/>
        </w:rPr>
        <w:t>)</w:t>
      </w:r>
      <w:r w:rsidR="009165A7">
        <w:rPr>
          <w:rFonts w:ascii="David" w:hAnsi="David" w:cs="David"/>
          <w:sz w:val="24"/>
          <w:szCs w:val="24"/>
          <w:rtl/>
        </w:rPr>
        <w:t xml:space="preserve"> </w:t>
      </w:r>
      <w:r w:rsidR="009165A7">
        <w:rPr>
          <w:rFonts w:ascii="David" w:hAnsi="David" w:cs="David" w:hint="cs"/>
          <w:sz w:val="24"/>
          <w:szCs w:val="24"/>
          <w:rtl/>
        </w:rPr>
        <w:t>לאחר שכיהן כנגיד משנת 2006</w:t>
      </w:r>
      <w:r w:rsidR="009B158C">
        <w:rPr>
          <w:rFonts w:ascii="David" w:hAnsi="David" w:cs="David" w:hint="cs"/>
          <w:sz w:val="24"/>
          <w:szCs w:val="24"/>
          <w:rtl/>
        </w:rPr>
        <w:t>.</w:t>
      </w:r>
      <w:r w:rsidR="009165A7">
        <w:rPr>
          <w:rFonts w:ascii="David" w:hAnsi="David" w:cs="David" w:hint="cs"/>
          <w:sz w:val="24"/>
          <w:szCs w:val="24"/>
          <w:rtl/>
        </w:rPr>
        <w:t xml:space="preserve"> בכנס השתתפו נגידי בנקים מרכזיים מרחבי העולם. הכנס עסק בנושא "עצמאות הבנקים המרכזיים" וחשיבותו לכלכלה במגוון נושאים כגון השווקים הפיננסיים, שוק התשלומים, ניהול מדיניות כלכלית במשק גלובלי ועוד.</w:t>
      </w:r>
    </w:p>
    <w:p w:rsidR="00E078C8" w:rsidRDefault="009165A7" w:rsidP="00DA4F4D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טרם השתתפותו </w:t>
      </w:r>
      <w:r w:rsidR="00DA4F4D">
        <w:rPr>
          <w:rFonts w:ascii="David" w:eastAsia="Times New Roman" w:hAnsi="David" w:cs="David" w:hint="cs"/>
          <w:color w:val="000000"/>
          <w:sz w:val="24"/>
          <w:szCs w:val="24"/>
          <w:rtl/>
        </w:rPr>
        <w:t>בכנס בשוודיה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, </w:t>
      </w:r>
      <w:r w:rsidR="00DA4F4D">
        <w:rPr>
          <w:rFonts w:ascii="David" w:hAnsi="David" w:cs="David" w:hint="cs"/>
          <w:sz w:val="24"/>
          <w:szCs w:val="24"/>
          <w:rtl/>
        </w:rPr>
        <w:t>השתתף הנגיד במפגש של נגידי בנקים מרכזיים בעולם, החברים בבנק הבין-לאומי לסילוקין (</w:t>
      </w:r>
      <w:r w:rsidR="00DA4F4D">
        <w:rPr>
          <w:rFonts w:ascii="David" w:hAnsi="David" w:cs="David"/>
          <w:sz w:val="24"/>
          <w:szCs w:val="24"/>
        </w:rPr>
        <w:t>*</w:t>
      </w:r>
      <w:r w:rsidR="00DA4F4D" w:rsidRPr="00895458">
        <w:rPr>
          <w:rFonts w:ascii="David" w:hAnsi="David" w:cs="David"/>
          <w:sz w:val="24"/>
          <w:szCs w:val="24"/>
        </w:rPr>
        <w:t>BIS</w:t>
      </w:r>
      <w:r w:rsidR="00DA4F4D">
        <w:rPr>
          <w:rFonts w:ascii="David" w:hAnsi="David" w:cs="David" w:hint="cs"/>
          <w:sz w:val="24"/>
          <w:szCs w:val="24"/>
          <w:rtl/>
        </w:rPr>
        <w:t>)</w:t>
      </w:r>
      <w:r w:rsidR="00765007">
        <w:rPr>
          <w:rFonts w:ascii="David" w:hAnsi="David" w:cs="David" w:hint="cs"/>
          <w:sz w:val="24"/>
          <w:szCs w:val="24"/>
          <w:rtl/>
        </w:rPr>
        <w:t>, שנערך אחת לחודשיים בבאזל, שוו</w:t>
      </w:r>
      <w:r w:rsidR="00DA4F4D">
        <w:rPr>
          <w:rFonts w:ascii="David" w:hAnsi="David" w:cs="David" w:hint="cs"/>
          <w:sz w:val="24"/>
          <w:szCs w:val="24"/>
          <w:rtl/>
        </w:rPr>
        <w:t xml:space="preserve">יץ. בהמשך </w:t>
      </w:r>
      <w:hyperlink r:id="rId11" w:history="1">
        <w:r w:rsidR="00DA4F4D" w:rsidRPr="000F1E6C">
          <w:rPr>
            <w:rStyle w:val="Hyperlink"/>
            <w:rFonts w:ascii="David" w:hAnsi="David" w:cs="David" w:hint="cs"/>
            <w:sz w:val="24"/>
            <w:szCs w:val="24"/>
            <w:rtl/>
          </w:rPr>
          <w:t>למינויו</w:t>
        </w:r>
      </w:hyperlink>
      <w:r w:rsidR="00DA4F4D">
        <w:rPr>
          <w:rFonts w:ascii="David" w:hAnsi="David" w:cs="David" w:hint="cs"/>
          <w:sz w:val="24"/>
          <w:szCs w:val="24"/>
          <w:rtl/>
        </w:rPr>
        <w:t xml:space="preserve"> בנובמבר 2021 כיו"ר</w:t>
      </w:r>
      <w:r w:rsidR="00DA4F4D" w:rsidRPr="002F5A32">
        <w:rPr>
          <w:rFonts w:ascii="David" w:hAnsi="David" w:cs="David" w:hint="cs"/>
          <w:sz w:val="24"/>
          <w:szCs w:val="24"/>
          <w:rtl/>
        </w:rPr>
        <w:t xml:space="preserve"> </w:t>
      </w:r>
      <w:r w:rsidR="00DA4F4D">
        <w:rPr>
          <w:rFonts w:ascii="David" w:hAnsi="David" w:cs="David" w:hint="cs"/>
          <w:sz w:val="24"/>
          <w:szCs w:val="24"/>
          <w:rtl/>
        </w:rPr>
        <w:t>הקבוצה למדינות עם כלכלות קטנות ופתוחות, הנחה הנגיד ירון את הדיון המקצועי בנושא זה (</w:t>
      </w:r>
      <w:r w:rsidR="00DA4F4D">
        <w:rPr>
          <w:rFonts w:ascii="David" w:hAnsi="David" w:cs="David" w:hint="cs"/>
          <w:sz w:val="24"/>
          <w:szCs w:val="24"/>
        </w:rPr>
        <w:t>S</w:t>
      </w:r>
      <w:r w:rsidR="00DA4F4D">
        <w:rPr>
          <w:rFonts w:ascii="David" w:hAnsi="David" w:cs="David"/>
          <w:sz w:val="24"/>
          <w:szCs w:val="24"/>
        </w:rPr>
        <w:t>mall Open Economies – SOE</w:t>
      </w:r>
      <w:r w:rsidR="00023302">
        <w:rPr>
          <w:rFonts w:ascii="David" w:eastAsia="Times New Roman" w:hAnsi="David" w:cs="David" w:hint="cs"/>
          <w:color w:val="000000"/>
          <w:sz w:val="24"/>
          <w:szCs w:val="24"/>
          <w:rtl/>
        </w:rPr>
        <w:t>).</w:t>
      </w:r>
    </w:p>
    <w:p w:rsidR="00E078C8" w:rsidRDefault="009B158C" w:rsidP="009B158C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קרדיט: דוברות בנק ישראל</w:t>
      </w:r>
    </w:p>
    <w:p w:rsidR="00E078C8" w:rsidRDefault="009B158C" w:rsidP="00753793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Times New Roman" w:hAnsi="David" w:cs="David"/>
          <w:noProof/>
          <w:color w:val="000000"/>
          <w:sz w:val="24"/>
          <w:szCs w:val="24"/>
        </w:rPr>
        <w:drawing>
          <wp:inline distT="0" distB="0" distL="0" distR="0" wp14:anchorId="727921FA">
            <wp:extent cx="3133725" cy="3182620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8C8" w:rsidRPr="00811813" w:rsidRDefault="00DA4F4D" w:rsidP="00753793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811813">
        <w:rPr>
          <w:rFonts w:ascii="David" w:eastAsia="Times New Roman" w:hAnsi="David" w:cs="David"/>
          <w:sz w:val="24"/>
          <w:szCs w:val="24"/>
          <w:rtl/>
        </w:rPr>
        <w:t xml:space="preserve">מימין - </w:t>
      </w:r>
      <w:r w:rsidRPr="00811813">
        <w:rPr>
          <w:rFonts w:ascii="David" w:hAnsi="David" w:cs="David"/>
          <w:sz w:val="21"/>
          <w:szCs w:val="21"/>
          <w:shd w:val="clear" w:color="auto" w:fill="FFFFFF"/>
        </w:rPr>
        <w:t xml:space="preserve">Erik </w:t>
      </w:r>
      <w:proofErr w:type="spellStart"/>
      <w:r w:rsidRPr="00811813">
        <w:rPr>
          <w:rFonts w:ascii="David" w:hAnsi="David" w:cs="David"/>
          <w:sz w:val="21"/>
          <w:szCs w:val="21"/>
          <w:shd w:val="clear" w:color="auto" w:fill="FFFFFF"/>
        </w:rPr>
        <w:t>Thedéen</w:t>
      </w:r>
      <w:proofErr w:type="spellEnd"/>
      <w:r w:rsidRPr="00811813">
        <w:rPr>
          <w:rFonts w:ascii="David" w:hAnsi="David" w:cs="David"/>
          <w:sz w:val="21"/>
          <w:szCs w:val="21"/>
          <w:shd w:val="clear" w:color="auto" w:fill="FFFFFF"/>
          <w:rtl/>
        </w:rPr>
        <w:t>, הנגיד הנכנס של הבנק המרכזי של שוודיה</w:t>
      </w:r>
    </w:p>
    <w:p w:rsidR="00DA4F4D" w:rsidRPr="00811813" w:rsidRDefault="00DA4F4D" w:rsidP="00DA4F4D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811813">
        <w:rPr>
          <w:rFonts w:ascii="David" w:eastAsia="Times New Roman" w:hAnsi="David" w:cs="David"/>
          <w:sz w:val="24"/>
          <w:szCs w:val="24"/>
          <w:rtl/>
        </w:rPr>
        <w:t xml:space="preserve">במרכז – </w:t>
      </w:r>
      <w:r w:rsidRPr="00811813">
        <w:rPr>
          <w:rFonts w:ascii="David" w:hAnsi="David" w:cs="David"/>
          <w:sz w:val="21"/>
          <w:szCs w:val="21"/>
          <w:shd w:val="clear" w:color="auto" w:fill="FFFFFF"/>
          <w:rtl/>
        </w:rPr>
        <w:t>אמיר ירון, נגיד בנק ישראל</w:t>
      </w:r>
    </w:p>
    <w:p w:rsidR="00DA4F4D" w:rsidRPr="00811813" w:rsidRDefault="00DA4F4D" w:rsidP="00DA4F4D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811813">
        <w:rPr>
          <w:rFonts w:ascii="David" w:eastAsia="Times New Roman" w:hAnsi="David" w:cs="David"/>
          <w:sz w:val="24"/>
          <w:szCs w:val="24"/>
          <w:rtl/>
        </w:rPr>
        <w:t xml:space="preserve">משמאל - </w:t>
      </w:r>
      <w:r w:rsidRPr="00811813">
        <w:rPr>
          <w:rFonts w:ascii="David" w:hAnsi="David" w:cs="David"/>
          <w:sz w:val="24"/>
          <w:szCs w:val="24"/>
        </w:rPr>
        <w:t>Stefan Ingves</w:t>
      </w:r>
      <w:r w:rsidRPr="00811813">
        <w:rPr>
          <w:rFonts w:ascii="David" w:hAnsi="David" w:cs="David"/>
          <w:sz w:val="21"/>
          <w:szCs w:val="21"/>
          <w:shd w:val="clear" w:color="auto" w:fill="FFFFFF"/>
          <w:rtl/>
        </w:rPr>
        <w:t>, הנגיד היוצא של הבנק המרכזי של שוודיה</w:t>
      </w:r>
    </w:p>
    <w:p w:rsidR="000A590E" w:rsidRPr="00D93A6A" w:rsidRDefault="000A590E" w:rsidP="00BB1A42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</w:rPr>
      </w:pPr>
    </w:p>
    <w:sectPr w:rsidR="000A590E" w:rsidRPr="00D93A6A" w:rsidSect="00801A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1C" w:rsidRDefault="00852C1C" w:rsidP="00357E1B">
      <w:pPr>
        <w:spacing w:after="0" w:line="240" w:lineRule="auto"/>
      </w:pPr>
      <w:r>
        <w:separator/>
      </w:r>
    </w:p>
  </w:endnote>
  <w:endnote w:type="continuationSeparator" w:id="0">
    <w:p w:rsidR="00852C1C" w:rsidRDefault="00852C1C" w:rsidP="0035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1C" w:rsidRDefault="00852C1C" w:rsidP="00357E1B">
      <w:pPr>
        <w:spacing w:after="0" w:line="240" w:lineRule="auto"/>
      </w:pPr>
      <w:r>
        <w:separator/>
      </w:r>
    </w:p>
  </w:footnote>
  <w:footnote w:type="continuationSeparator" w:id="0">
    <w:p w:rsidR="00852C1C" w:rsidRDefault="00852C1C" w:rsidP="0035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BCA"/>
    <w:multiLevelType w:val="hybridMultilevel"/>
    <w:tmpl w:val="B582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9A"/>
    <w:rsid w:val="00023302"/>
    <w:rsid w:val="00037BEC"/>
    <w:rsid w:val="00040C53"/>
    <w:rsid w:val="000660A7"/>
    <w:rsid w:val="00070615"/>
    <w:rsid w:val="00074A38"/>
    <w:rsid w:val="000A590E"/>
    <w:rsid w:val="000E566F"/>
    <w:rsid w:val="000F1E6C"/>
    <w:rsid w:val="001319C9"/>
    <w:rsid w:val="001578B0"/>
    <w:rsid w:val="00166CB8"/>
    <w:rsid w:val="00174666"/>
    <w:rsid w:val="001F50E1"/>
    <w:rsid w:val="002173AC"/>
    <w:rsid w:val="00257BDA"/>
    <w:rsid w:val="002723EA"/>
    <w:rsid w:val="002B0104"/>
    <w:rsid w:val="002B5D14"/>
    <w:rsid w:val="002C0539"/>
    <w:rsid w:val="002E131D"/>
    <w:rsid w:val="00357E1B"/>
    <w:rsid w:val="00386F33"/>
    <w:rsid w:val="003A127A"/>
    <w:rsid w:val="003C5ADF"/>
    <w:rsid w:val="004107D0"/>
    <w:rsid w:val="004B75AC"/>
    <w:rsid w:val="004F2B8C"/>
    <w:rsid w:val="0052436D"/>
    <w:rsid w:val="0054418F"/>
    <w:rsid w:val="005602D4"/>
    <w:rsid w:val="00605C1C"/>
    <w:rsid w:val="00744030"/>
    <w:rsid w:val="00753793"/>
    <w:rsid w:val="00763938"/>
    <w:rsid w:val="00764333"/>
    <w:rsid w:val="00765007"/>
    <w:rsid w:val="00793274"/>
    <w:rsid w:val="007C2757"/>
    <w:rsid w:val="008069BB"/>
    <w:rsid w:val="00811813"/>
    <w:rsid w:val="00852C1C"/>
    <w:rsid w:val="008567B7"/>
    <w:rsid w:val="00872B3F"/>
    <w:rsid w:val="008C2B82"/>
    <w:rsid w:val="0090506E"/>
    <w:rsid w:val="009165A7"/>
    <w:rsid w:val="00966FF7"/>
    <w:rsid w:val="009B158C"/>
    <w:rsid w:val="009B216B"/>
    <w:rsid w:val="009D5FD8"/>
    <w:rsid w:val="00A9099B"/>
    <w:rsid w:val="00AA7394"/>
    <w:rsid w:val="00AB24B8"/>
    <w:rsid w:val="00AE65AB"/>
    <w:rsid w:val="00B537E8"/>
    <w:rsid w:val="00BB1A42"/>
    <w:rsid w:val="00C14E12"/>
    <w:rsid w:val="00C16DA0"/>
    <w:rsid w:val="00C237F3"/>
    <w:rsid w:val="00C43C4A"/>
    <w:rsid w:val="00C927DB"/>
    <w:rsid w:val="00CA22B7"/>
    <w:rsid w:val="00CC325A"/>
    <w:rsid w:val="00CD49F2"/>
    <w:rsid w:val="00CF355D"/>
    <w:rsid w:val="00CF7518"/>
    <w:rsid w:val="00D1486D"/>
    <w:rsid w:val="00D77306"/>
    <w:rsid w:val="00D90C0F"/>
    <w:rsid w:val="00D93A6A"/>
    <w:rsid w:val="00DA4F4D"/>
    <w:rsid w:val="00DA50C5"/>
    <w:rsid w:val="00DF1044"/>
    <w:rsid w:val="00E078C8"/>
    <w:rsid w:val="00E17B27"/>
    <w:rsid w:val="00E30049"/>
    <w:rsid w:val="00E435CF"/>
    <w:rsid w:val="00EC5D7F"/>
    <w:rsid w:val="00F12624"/>
    <w:rsid w:val="00F25D4E"/>
    <w:rsid w:val="00F43365"/>
    <w:rsid w:val="00F44C84"/>
    <w:rsid w:val="00F607E1"/>
    <w:rsid w:val="00F73A0B"/>
    <w:rsid w:val="00FD169A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42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40C53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040C53"/>
    <w:pPr>
      <w:spacing w:after="0" w:line="240" w:lineRule="auto"/>
      <w:ind w:left="720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unhideWhenUsed/>
    <w:rsid w:val="00357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57E1B"/>
  </w:style>
  <w:style w:type="paragraph" w:styleId="a6">
    <w:name w:val="footer"/>
    <w:basedOn w:val="a"/>
    <w:link w:val="a7"/>
    <w:uiPriority w:val="99"/>
    <w:unhideWhenUsed/>
    <w:rsid w:val="00357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57E1B"/>
  </w:style>
  <w:style w:type="character" w:styleId="FollowedHyperlink">
    <w:name w:val="FollowedHyperlink"/>
    <w:basedOn w:val="a0"/>
    <w:uiPriority w:val="99"/>
    <w:semiHidden/>
    <w:unhideWhenUsed/>
    <w:rsid w:val="003C5AD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9099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099B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A9099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099B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A9099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099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A9099B"/>
    <w:rPr>
      <w:rFonts w:ascii="Tahoma" w:hAnsi="Tahoma" w:cs="Tahoma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B1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9B158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i.org.il/publications/1607/%D7%A0%D7%92%D7%99%D7%93-%D7%91%D7%A0%D7%A7-%D7%99%D7%A9%D7%A8%D7%90%D7%9C-%D7%A4%D7%A8%D7%95%D7%A4-%D7%90%D7%9E%D7%99%D7%A8-%D7%99%D7%A8%D7%95%D7%9F-%D7%A0%D7%91%D7%97%D7%A8-%D7%9C%D7%99%D7%95%D7%A9%D7%91-%D7%A8%D7%90%D7%A9-%D7%A7%D7%91%D7%95%D7%A6%D7%AA-%D7%94-soe-%D7%94%D7%9E%D7%93%D7%99%D7%A0%D7%95%D7%AA-%D7%94%D7%A7%D7%98%D7%A0%D7%95%D7%AA-%D7%95%D7%A4%D7%AA%D7%95%D7%97%D7%95%D7%AA-%D7%91%D7%91%D7%A0%D7%A7-%D7%94%D7%91%D7%99%D7%A0%D7%9C-%D7%9C%D7%A1%D7%99%D7%9C%D7%95%D7%A7%D7%99%D7%9F-%D7%94-bi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1D20B-0F22-4407-8D62-EA926CF70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D56F9-EC77-415C-B286-1BC0952F4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DA2062D-8327-47DA-A4CC-8DF889E85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2023-01-11T10:07:00Z</dcterms:created>
  <dcterms:modified xsi:type="dcterms:W3CDTF">2023-01-11T10:28:00Z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