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F2E" w:rsidRPr="00851099" w:rsidRDefault="00EA4F2E" w:rsidP="00EA4F2E">
      <w:pPr>
        <w:bidi/>
        <w:spacing w:line="360" w:lineRule="auto"/>
        <w:jc w:val="center"/>
        <w:rPr>
          <w:rFonts w:cs="David" w:hint="cs"/>
          <w:b/>
          <w:bCs/>
          <w:sz w:val="24"/>
          <w:szCs w:val="24"/>
          <w:vertAlign w:val="subscript"/>
          <w:rtl/>
        </w:rPr>
      </w:pPr>
      <w:bookmarkStart w:id="0" w:name="_GoBack"/>
      <w:bookmarkEnd w:id="0"/>
    </w:p>
    <w:tbl>
      <w:tblPr>
        <w:tblpPr w:leftFromText="180" w:rightFromText="180" w:horzAnchor="margin" w:tblpXSpec="center" w:tblpY="-725"/>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EA4F2E" w:rsidRPr="00A67536" w:rsidTr="00E544C0">
        <w:tc>
          <w:tcPr>
            <w:tcW w:w="2840" w:type="dxa"/>
            <w:tcBorders>
              <w:top w:val="nil"/>
              <w:left w:val="nil"/>
              <w:bottom w:val="nil"/>
              <w:right w:val="nil"/>
            </w:tcBorders>
            <w:vAlign w:val="center"/>
          </w:tcPr>
          <w:p w:rsidR="00717910" w:rsidRDefault="00717910" w:rsidP="008E3AC4">
            <w:pPr>
              <w:bidi/>
              <w:spacing w:after="0"/>
              <w:jc w:val="center"/>
              <w:rPr>
                <w:rFonts w:cs="David"/>
                <w:b/>
                <w:bCs/>
                <w:sz w:val="28"/>
                <w:szCs w:val="28"/>
                <w:rtl/>
              </w:rPr>
            </w:pPr>
          </w:p>
          <w:p w:rsidR="00717910" w:rsidRDefault="00717910" w:rsidP="00717910">
            <w:pPr>
              <w:bidi/>
              <w:spacing w:after="0"/>
              <w:jc w:val="center"/>
              <w:rPr>
                <w:rFonts w:cs="David"/>
                <w:b/>
                <w:bCs/>
                <w:sz w:val="28"/>
                <w:szCs w:val="28"/>
                <w:rtl/>
              </w:rPr>
            </w:pPr>
          </w:p>
          <w:p w:rsidR="00EA4F2E" w:rsidRPr="00851099" w:rsidRDefault="00EA4F2E" w:rsidP="00717910">
            <w:pPr>
              <w:bidi/>
              <w:spacing w:after="0"/>
              <w:jc w:val="center"/>
              <w:rPr>
                <w:rFonts w:cs="David"/>
                <w:b/>
                <w:bCs/>
                <w:sz w:val="28"/>
                <w:szCs w:val="28"/>
              </w:rPr>
            </w:pPr>
            <w:r w:rsidRPr="00851099">
              <w:rPr>
                <w:rFonts w:cs="David"/>
                <w:b/>
                <w:bCs/>
                <w:sz w:val="28"/>
                <w:szCs w:val="28"/>
                <w:rtl/>
              </w:rPr>
              <w:t>בנ</w:t>
            </w:r>
            <w:r w:rsidRPr="00851099">
              <w:rPr>
                <w:rFonts w:cs="David" w:hint="cs"/>
                <w:b/>
                <w:bCs/>
                <w:sz w:val="28"/>
                <w:szCs w:val="28"/>
                <w:rtl/>
              </w:rPr>
              <w:t xml:space="preserve">ק </w:t>
            </w:r>
            <w:r w:rsidRPr="00851099">
              <w:rPr>
                <w:rFonts w:cs="David"/>
                <w:b/>
                <w:bCs/>
                <w:sz w:val="28"/>
                <w:szCs w:val="28"/>
                <w:rtl/>
              </w:rPr>
              <w:t>יש</w:t>
            </w:r>
            <w:r w:rsidRPr="00851099">
              <w:rPr>
                <w:rFonts w:cs="David" w:hint="cs"/>
                <w:b/>
                <w:bCs/>
                <w:sz w:val="28"/>
                <w:szCs w:val="28"/>
                <w:rtl/>
              </w:rPr>
              <w:t>ראל</w:t>
            </w:r>
          </w:p>
          <w:p w:rsidR="00EA4F2E" w:rsidRPr="00851099" w:rsidRDefault="00EA4F2E" w:rsidP="008E3AC4">
            <w:pPr>
              <w:bidi/>
              <w:spacing w:after="0" w:line="240" w:lineRule="auto"/>
              <w:ind w:right="-101"/>
              <w:jc w:val="center"/>
            </w:pPr>
            <w:r w:rsidRPr="00851099">
              <w:rPr>
                <w:rFonts w:cs="David"/>
                <w:sz w:val="24"/>
                <w:szCs w:val="24"/>
                <w:rtl/>
              </w:rPr>
              <w:t>דו</w:t>
            </w:r>
            <w:r w:rsidRPr="00851099">
              <w:rPr>
                <w:rFonts w:cs="David" w:hint="cs"/>
                <w:sz w:val="24"/>
                <w:szCs w:val="24"/>
                <w:rtl/>
              </w:rPr>
              <w:t>בר</w:t>
            </w:r>
            <w:r w:rsidRPr="00851099">
              <w:rPr>
                <w:rFonts w:cs="David"/>
                <w:sz w:val="24"/>
                <w:szCs w:val="24"/>
                <w:rtl/>
              </w:rPr>
              <w:t>ות</w:t>
            </w:r>
            <w:r w:rsidRPr="00851099">
              <w:rPr>
                <w:rFonts w:cs="David" w:hint="cs"/>
                <w:sz w:val="24"/>
                <w:szCs w:val="24"/>
                <w:rtl/>
              </w:rPr>
              <w:t xml:space="preserve"> והסברה כלכלית</w:t>
            </w:r>
          </w:p>
        </w:tc>
        <w:tc>
          <w:tcPr>
            <w:tcW w:w="2596" w:type="dxa"/>
            <w:tcBorders>
              <w:top w:val="nil"/>
              <w:left w:val="nil"/>
              <w:bottom w:val="nil"/>
              <w:right w:val="nil"/>
            </w:tcBorders>
          </w:tcPr>
          <w:p w:rsidR="00EA4F2E" w:rsidRPr="00851099" w:rsidRDefault="00717910" w:rsidP="008E3AC4">
            <w:pPr>
              <w:bidi/>
              <w:jc w:val="center"/>
            </w:pPr>
            <w:r w:rsidRPr="00B93FDD">
              <w:rPr>
                <w:rFonts w:ascii="Times New Roman" w:eastAsia="Times New Roman" w:hAnsi="Times New Roman" w:cs="David"/>
                <w:noProof/>
                <w:sz w:val="24"/>
                <w:szCs w:val="24"/>
                <w:rtl/>
              </w:rPr>
              <w:drawing>
                <wp:anchor distT="0" distB="0" distL="114300" distR="114300" simplePos="0" relativeHeight="251659264" behindDoc="0" locked="0" layoutInCell="1" allowOverlap="1" wp14:anchorId="67D45C5D" wp14:editId="58E84595">
                  <wp:simplePos x="0" y="0"/>
                  <wp:positionH relativeFrom="column">
                    <wp:posOffset>147955</wp:posOffset>
                  </wp:positionH>
                  <wp:positionV relativeFrom="paragraph">
                    <wp:posOffset>318770</wp:posOffset>
                  </wp:positionV>
                  <wp:extent cx="1051200" cy="1051200"/>
                  <wp:effectExtent l="0" t="0" r="0" b="0"/>
                  <wp:wrapSquare wrapText="bothSides"/>
                  <wp:docPr id="2" name="תמונה 2"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717910" w:rsidRDefault="008E3AC4" w:rsidP="00851099">
            <w:pPr>
              <w:bidi/>
              <w:spacing w:after="0"/>
              <w:jc w:val="right"/>
              <w:rPr>
                <w:rFonts w:cs="David"/>
                <w:rtl/>
              </w:rPr>
            </w:pPr>
            <w:r w:rsidRPr="00851099">
              <w:rPr>
                <w:rFonts w:cs="David"/>
                <w:rtl/>
              </w:rPr>
              <w:t>‏</w:t>
            </w:r>
          </w:p>
          <w:p w:rsidR="00717910" w:rsidRDefault="00717910" w:rsidP="00717910">
            <w:pPr>
              <w:bidi/>
              <w:spacing w:after="0"/>
              <w:jc w:val="right"/>
              <w:rPr>
                <w:rFonts w:cs="David"/>
                <w:rtl/>
              </w:rPr>
            </w:pPr>
          </w:p>
          <w:p w:rsidR="008E3AC4" w:rsidRDefault="008E3AC4" w:rsidP="00717910">
            <w:pPr>
              <w:bidi/>
              <w:spacing w:after="0"/>
              <w:jc w:val="right"/>
              <w:rPr>
                <w:rFonts w:cs="David"/>
                <w:rtl/>
              </w:rPr>
            </w:pPr>
            <w:r w:rsidRPr="00851099">
              <w:rPr>
                <w:rFonts w:cs="David"/>
                <w:rtl/>
              </w:rPr>
              <w:t xml:space="preserve">ירושלים, </w:t>
            </w:r>
            <w:proofErr w:type="spellStart"/>
            <w:r w:rsidR="00851099" w:rsidRPr="00851099">
              <w:rPr>
                <w:rFonts w:cs="David" w:hint="cs"/>
                <w:rtl/>
              </w:rPr>
              <w:t>יט</w:t>
            </w:r>
            <w:proofErr w:type="spellEnd"/>
            <w:r w:rsidR="00851099" w:rsidRPr="00851099">
              <w:rPr>
                <w:rFonts w:cs="David"/>
                <w:rtl/>
              </w:rPr>
              <w:t>' ב</w:t>
            </w:r>
            <w:r w:rsidR="00851099" w:rsidRPr="00851099">
              <w:rPr>
                <w:rFonts w:cs="David" w:hint="cs"/>
                <w:rtl/>
              </w:rPr>
              <w:t>חשוון</w:t>
            </w:r>
            <w:r w:rsidRPr="00851099">
              <w:rPr>
                <w:rFonts w:cs="David"/>
                <w:rtl/>
              </w:rPr>
              <w:t>, תשפ"</w:t>
            </w:r>
            <w:r w:rsidR="00851099" w:rsidRPr="00851099">
              <w:rPr>
                <w:rFonts w:cs="David" w:hint="cs"/>
                <w:rtl/>
              </w:rPr>
              <w:t>ב</w:t>
            </w:r>
          </w:p>
          <w:p w:rsidR="00717910" w:rsidRPr="00851099" w:rsidRDefault="00717910" w:rsidP="00717910">
            <w:pPr>
              <w:bidi/>
              <w:spacing w:after="0"/>
              <w:jc w:val="right"/>
              <w:rPr>
                <w:rFonts w:cs="David"/>
              </w:rPr>
            </w:pPr>
          </w:p>
          <w:p w:rsidR="00EA4F2E" w:rsidRPr="00851099" w:rsidRDefault="00851099" w:rsidP="00717910">
            <w:pPr>
              <w:bidi/>
              <w:spacing w:line="240" w:lineRule="auto"/>
              <w:jc w:val="right"/>
              <w:rPr>
                <w:rFonts w:cs="David"/>
              </w:rPr>
            </w:pPr>
            <w:r w:rsidRPr="00851099">
              <w:rPr>
                <w:rFonts w:cs="David" w:hint="cs"/>
                <w:rtl/>
              </w:rPr>
              <w:t>2</w:t>
            </w:r>
            <w:r w:rsidR="00717910">
              <w:rPr>
                <w:rFonts w:cs="David" w:hint="cs"/>
                <w:rtl/>
              </w:rPr>
              <w:t>5</w:t>
            </w:r>
            <w:r w:rsidRPr="00851099">
              <w:rPr>
                <w:rFonts w:cs="David" w:hint="cs"/>
                <w:rtl/>
              </w:rPr>
              <w:t xml:space="preserve"> באוקטובר</w:t>
            </w:r>
            <w:r w:rsidR="008E3AC4" w:rsidRPr="00851099">
              <w:rPr>
                <w:rFonts w:cs="David"/>
                <w:rtl/>
              </w:rPr>
              <w:t xml:space="preserve"> 2021</w:t>
            </w:r>
          </w:p>
        </w:tc>
      </w:tr>
    </w:tbl>
    <w:p w:rsidR="00EA4F2E" w:rsidRDefault="00EA4F2E" w:rsidP="008E3AC4">
      <w:pPr>
        <w:bidi/>
        <w:spacing w:line="360" w:lineRule="auto"/>
        <w:ind w:right="-101"/>
        <w:rPr>
          <w:rFonts w:cs="David"/>
          <w:rtl/>
        </w:rPr>
      </w:pPr>
    </w:p>
    <w:p w:rsidR="00EA4F2E" w:rsidRPr="00331C68" w:rsidRDefault="00EA4F2E" w:rsidP="008E3AC4">
      <w:pPr>
        <w:bidi/>
        <w:spacing w:line="360" w:lineRule="auto"/>
        <w:ind w:right="-101"/>
        <w:rPr>
          <w:rFonts w:cs="David"/>
          <w:sz w:val="24"/>
          <w:szCs w:val="24"/>
        </w:rPr>
      </w:pPr>
      <w:r w:rsidRPr="00331C68">
        <w:rPr>
          <w:rFonts w:cs="David" w:hint="cs"/>
          <w:sz w:val="24"/>
          <w:szCs w:val="24"/>
          <w:rtl/>
        </w:rPr>
        <w:t xml:space="preserve">הודעה </w:t>
      </w:r>
      <w:r w:rsidR="008E3AC4" w:rsidRPr="00331C68">
        <w:rPr>
          <w:rFonts w:cs="David" w:hint="cs"/>
          <w:sz w:val="24"/>
          <w:szCs w:val="24"/>
          <w:rtl/>
        </w:rPr>
        <w:t>ל</w:t>
      </w:r>
      <w:r w:rsidR="008E3AC4">
        <w:rPr>
          <w:rFonts w:cs="David" w:hint="cs"/>
          <w:sz w:val="24"/>
          <w:szCs w:val="24"/>
          <w:rtl/>
        </w:rPr>
        <w:t>עיתונו</w:t>
      </w:r>
      <w:r w:rsidR="008E3AC4" w:rsidRPr="00331C68">
        <w:rPr>
          <w:rFonts w:cs="David" w:hint="cs"/>
          <w:sz w:val="24"/>
          <w:szCs w:val="24"/>
          <w:rtl/>
        </w:rPr>
        <w:t>ת</w:t>
      </w:r>
      <w:r w:rsidRPr="00331C68">
        <w:rPr>
          <w:rFonts w:cs="David" w:hint="cs"/>
          <w:sz w:val="24"/>
          <w:szCs w:val="24"/>
          <w:rtl/>
        </w:rPr>
        <w:t>:</w:t>
      </w:r>
    </w:p>
    <w:p w:rsidR="00EA4F2E" w:rsidRPr="00331C68" w:rsidRDefault="00EA4F2E" w:rsidP="008E3AC4">
      <w:pPr>
        <w:bidi/>
        <w:spacing w:line="360" w:lineRule="auto"/>
        <w:ind w:right="-101"/>
        <w:jc w:val="center"/>
        <w:rPr>
          <w:rFonts w:cs="David"/>
          <w:sz w:val="24"/>
          <w:szCs w:val="24"/>
          <w:rtl/>
        </w:rPr>
      </w:pPr>
      <w:r w:rsidRPr="00331C68">
        <w:rPr>
          <w:rFonts w:cs="David" w:hint="cs"/>
          <w:sz w:val="24"/>
          <w:szCs w:val="24"/>
          <w:rtl/>
        </w:rPr>
        <w:t>מחקר חדש:</w:t>
      </w:r>
    </w:p>
    <w:p w:rsidR="00EA4F2E" w:rsidRPr="00601D6F" w:rsidRDefault="009B367D" w:rsidP="008E3AC4">
      <w:pPr>
        <w:bidi/>
        <w:spacing w:before="120" w:after="120" w:line="360" w:lineRule="auto"/>
        <w:ind w:right="84"/>
        <w:jc w:val="center"/>
        <w:rPr>
          <w:rFonts w:ascii="Palatino Linotype" w:hAnsi="Palatino Linotype" w:cs="David"/>
          <w:b/>
          <w:bCs/>
          <w:sz w:val="30"/>
          <w:szCs w:val="30"/>
          <w:rtl/>
        </w:rPr>
      </w:pPr>
      <w:r>
        <w:rPr>
          <w:rFonts w:ascii="Palatino Linotype" w:hAnsi="Palatino Linotype" w:cs="David" w:hint="cs"/>
          <w:b/>
          <w:bCs/>
          <w:sz w:val="30"/>
          <w:szCs w:val="30"/>
          <w:rtl/>
        </w:rPr>
        <w:t xml:space="preserve">בחינה בינ"ל של </w:t>
      </w:r>
      <w:r w:rsidR="008E3AC4">
        <w:rPr>
          <w:rFonts w:ascii="Palatino Linotype" w:hAnsi="Palatino Linotype" w:cs="David" w:hint="cs"/>
          <w:b/>
          <w:bCs/>
          <w:sz w:val="30"/>
          <w:szCs w:val="30"/>
          <w:rtl/>
        </w:rPr>
        <w:t xml:space="preserve">ריביות נמוכות </w:t>
      </w:r>
      <w:proofErr w:type="spellStart"/>
      <w:r w:rsidR="008E3AC4">
        <w:rPr>
          <w:rFonts w:ascii="Palatino Linotype" w:hAnsi="Palatino Linotype" w:cs="David" w:hint="cs"/>
          <w:b/>
          <w:bCs/>
          <w:sz w:val="30"/>
          <w:szCs w:val="30"/>
          <w:rtl/>
        </w:rPr>
        <w:t>ומירווח</w:t>
      </w:r>
      <w:proofErr w:type="spellEnd"/>
      <w:r w:rsidR="008E3AC4">
        <w:rPr>
          <w:rFonts w:ascii="Palatino Linotype" w:hAnsi="Palatino Linotype" w:cs="David" w:hint="cs"/>
          <w:b/>
          <w:bCs/>
          <w:sz w:val="30"/>
          <w:szCs w:val="30"/>
          <w:rtl/>
        </w:rPr>
        <w:t xml:space="preserve"> הריבית של הבנקים: האם הם תלויים במידת התחרות </w:t>
      </w:r>
    </w:p>
    <w:p w:rsidR="00EA4F2E" w:rsidRPr="0080573C" w:rsidRDefault="00EA4F2E" w:rsidP="008E3AC4">
      <w:pPr>
        <w:bidi/>
        <w:spacing w:before="120" w:after="120" w:line="360" w:lineRule="auto"/>
        <w:ind w:right="84"/>
        <w:jc w:val="both"/>
        <w:rPr>
          <w:rFonts w:ascii="Palatino Linotype" w:hAnsi="Palatino Linotype" w:cs="David"/>
          <w:b/>
          <w:bCs/>
          <w:sz w:val="24"/>
          <w:szCs w:val="24"/>
          <w:rtl/>
        </w:rPr>
      </w:pPr>
    </w:p>
    <w:p w:rsidR="003F2591" w:rsidRPr="0080573C" w:rsidRDefault="003F2591" w:rsidP="008E3AC4">
      <w:pPr>
        <w:pStyle w:val="a3"/>
        <w:bidi/>
        <w:jc w:val="both"/>
        <w:rPr>
          <w:rFonts w:cs="David"/>
          <w:b/>
          <w:bCs/>
          <w:sz w:val="24"/>
          <w:szCs w:val="24"/>
        </w:rPr>
      </w:pPr>
    </w:p>
    <w:p w:rsidR="00CB0353" w:rsidRDefault="008A26BC" w:rsidP="008E3AC4">
      <w:pPr>
        <w:pStyle w:val="a3"/>
        <w:numPr>
          <w:ilvl w:val="0"/>
          <w:numId w:val="1"/>
        </w:numPr>
        <w:bidi/>
        <w:jc w:val="both"/>
        <w:rPr>
          <w:rFonts w:cs="David"/>
          <w:b/>
          <w:bCs/>
          <w:sz w:val="24"/>
          <w:szCs w:val="24"/>
        </w:rPr>
      </w:pPr>
      <w:r w:rsidRPr="0080573C">
        <w:rPr>
          <w:rFonts w:cs="David" w:hint="eastAsia"/>
          <w:b/>
          <w:bCs/>
          <w:sz w:val="24"/>
          <w:szCs w:val="24"/>
          <w:rtl/>
        </w:rPr>
        <w:t>במחקר</w:t>
      </w:r>
      <w:r w:rsidRPr="0080573C">
        <w:rPr>
          <w:rFonts w:cs="David"/>
          <w:b/>
          <w:bCs/>
          <w:sz w:val="24"/>
          <w:szCs w:val="24"/>
          <w:rtl/>
        </w:rPr>
        <w:t xml:space="preserve"> </w:t>
      </w:r>
      <w:r w:rsidR="008E3AC4">
        <w:rPr>
          <w:rFonts w:cs="David" w:hint="cs"/>
          <w:b/>
          <w:bCs/>
          <w:sz w:val="24"/>
          <w:szCs w:val="24"/>
          <w:rtl/>
        </w:rPr>
        <w:t xml:space="preserve">שנערך </w:t>
      </w:r>
      <w:r w:rsidR="001716DC" w:rsidRPr="0080573C">
        <w:rPr>
          <w:rFonts w:cs="David" w:hint="eastAsia"/>
          <w:b/>
          <w:bCs/>
          <w:sz w:val="24"/>
          <w:szCs w:val="24"/>
          <w:rtl/>
        </w:rPr>
        <w:t>בבנק</w:t>
      </w:r>
      <w:r w:rsidR="001716DC" w:rsidRPr="0080573C">
        <w:rPr>
          <w:rFonts w:cs="David"/>
          <w:b/>
          <w:bCs/>
          <w:sz w:val="24"/>
          <w:szCs w:val="24"/>
          <w:rtl/>
        </w:rPr>
        <w:t xml:space="preserve"> </w:t>
      </w:r>
      <w:r w:rsidR="001716DC" w:rsidRPr="0080573C">
        <w:rPr>
          <w:rFonts w:cs="David" w:hint="eastAsia"/>
          <w:b/>
          <w:bCs/>
          <w:sz w:val="24"/>
          <w:szCs w:val="24"/>
          <w:rtl/>
        </w:rPr>
        <w:t>ישראל</w:t>
      </w:r>
      <w:r w:rsidRPr="0080573C">
        <w:rPr>
          <w:rFonts w:cs="David"/>
          <w:b/>
          <w:bCs/>
          <w:sz w:val="24"/>
          <w:szCs w:val="24"/>
          <w:rtl/>
        </w:rPr>
        <w:t xml:space="preserve"> </w:t>
      </w:r>
      <w:r w:rsidR="008E3AC4">
        <w:rPr>
          <w:rFonts w:cs="David" w:hint="cs"/>
          <w:b/>
          <w:bCs/>
          <w:sz w:val="24"/>
          <w:szCs w:val="24"/>
          <w:rtl/>
        </w:rPr>
        <w:t>שבחן נתונים של בנקים בעולם</w:t>
      </w:r>
      <w:r w:rsidR="008E3AC4" w:rsidRPr="0080573C">
        <w:rPr>
          <w:rFonts w:cs="David"/>
          <w:b/>
          <w:bCs/>
          <w:sz w:val="24"/>
          <w:szCs w:val="24"/>
          <w:rtl/>
        </w:rPr>
        <w:t xml:space="preserve"> </w:t>
      </w:r>
      <w:r w:rsidRPr="0080573C">
        <w:rPr>
          <w:rFonts w:cs="David"/>
          <w:b/>
          <w:bCs/>
          <w:sz w:val="24"/>
          <w:szCs w:val="24"/>
          <w:rtl/>
        </w:rPr>
        <w:t xml:space="preserve">נמצא </w:t>
      </w:r>
      <w:r w:rsidR="00632924">
        <w:rPr>
          <w:rFonts w:cs="David" w:hint="cs"/>
          <w:b/>
          <w:bCs/>
          <w:sz w:val="24"/>
          <w:szCs w:val="24"/>
          <w:rtl/>
        </w:rPr>
        <w:t xml:space="preserve">כי </w:t>
      </w:r>
      <w:proofErr w:type="spellStart"/>
      <w:r w:rsidR="008E3AC4">
        <w:rPr>
          <w:rFonts w:cs="David" w:hint="cs"/>
          <w:b/>
          <w:bCs/>
          <w:sz w:val="24"/>
          <w:szCs w:val="24"/>
          <w:rtl/>
        </w:rPr>
        <w:t>המירווח</w:t>
      </w:r>
      <w:proofErr w:type="spellEnd"/>
      <w:r w:rsidR="008E3AC4">
        <w:rPr>
          <w:rFonts w:cs="David" w:hint="cs"/>
          <w:b/>
          <w:bCs/>
          <w:sz w:val="24"/>
          <w:szCs w:val="24"/>
          <w:rtl/>
        </w:rPr>
        <w:t xml:space="preserve"> נטו (ההכנסות מריבית על אשראי בניכוי ההוצאות על ריבית על המקורות) תלוי באופן חיובי ברמת הריבית הקצרה במשק.</w:t>
      </w:r>
    </w:p>
    <w:p w:rsidR="008E3AC4" w:rsidRDefault="008E3AC4" w:rsidP="00162E20">
      <w:pPr>
        <w:pStyle w:val="a3"/>
        <w:numPr>
          <w:ilvl w:val="0"/>
          <w:numId w:val="1"/>
        </w:numPr>
        <w:bidi/>
        <w:jc w:val="both"/>
        <w:rPr>
          <w:rFonts w:cs="David"/>
          <w:b/>
          <w:bCs/>
          <w:sz w:val="24"/>
          <w:szCs w:val="24"/>
        </w:rPr>
      </w:pPr>
      <w:r>
        <w:rPr>
          <w:rFonts w:cs="David" w:hint="cs"/>
          <w:b/>
          <w:bCs/>
          <w:sz w:val="24"/>
          <w:szCs w:val="24"/>
          <w:rtl/>
        </w:rPr>
        <w:t xml:space="preserve">נמצא שהקשר החיובי חזק יותר ברמת ריביות נמוכה, </w:t>
      </w:r>
      <w:r w:rsidR="00555B23">
        <w:rPr>
          <w:rFonts w:cs="David" w:hint="cs"/>
          <w:b/>
          <w:bCs/>
          <w:sz w:val="24"/>
          <w:szCs w:val="24"/>
          <w:rtl/>
        </w:rPr>
        <w:t>ה</w:t>
      </w:r>
      <w:r>
        <w:rPr>
          <w:rFonts w:cs="David" w:hint="cs"/>
          <w:b/>
          <w:bCs/>
          <w:sz w:val="24"/>
          <w:szCs w:val="24"/>
          <w:rtl/>
        </w:rPr>
        <w:t>קרובה לאפס.</w:t>
      </w:r>
    </w:p>
    <w:p w:rsidR="00162E20" w:rsidRPr="00162E20" w:rsidRDefault="00162E20" w:rsidP="00411CFA">
      <w:pPr>
        <w:pStyle w:val="a3"/>
        <w:numPr>
          <w:ilvl w:val="0"/>
          <w:numId w:val="1"/>
        </w:numPr>
        <w:bidi/>
        <w:jc w:val="both"/>
        <w:rPr>
          <w:rFonts w:cs="David"/>
          <w:sz w:val="24"/>
          <w:szCs w:val="24"/>
        </w:rPr>
      </w:pPr>
      <w:r w:rsidRPr="00162E20">
        <w:rPr>
          <w:rFonts w:cs="David" w:hint="cs"/>
          <w:b/>
          <w:bCs/>
          <w:sz w:val="24"/>
          <w:szCs w:val="24"/>
          <w:rtl/>
        </w:rPr>
        <w:t xml:space="preserve">עוד נמצא </w:t>
      </w:r>
      <w:r w:rsidR="00555B23">
        <w:rPr>
          <w:rFonts w:cs="David" w:hint="cs"/>
          <w:b/>
          <w:bCs/>
          <w:sz w:val="24"/>
          <w:szCs w:val="24"/>
          <w:rtl/>
        </w:rPr>
        <w:t>שכש</w:t>
      </w:r>
      <w:r w:rsidR="008E3AC4" w:rsidRPr="00162E20">
        <w:rPr>
          <w:rFonts w:cs="David" w:hint="cs"/>
          <w:b/>
          <w:bCs/>
          <w:sz w:val="24"/>
          <w:szCs w:val="24"/>
          <w:rtl/>
        </w:rPr>
        <w:t xml:space="preserve">מערכת הבנקאות ריכוזית, </w:t>
      </w:r>
      <w:r w:rsidR="00555B23">
        <w:rPr>
          <w:rFonts w:cs="David" w:hint="cs"/>
          <w:b/>
          <w:bCs/>
          <w:sz w:val="24"/>
          <w:szCs w:val="24"/>
          <w:rtl/>
        </w:rPr>
        <w:t xml:space="preserve">שינויים בריבית כמעט שאינם משפיעים על </w:t>
      </w:r>
      <w:proofErr w:type="spellStart"/>
      <w:r w:rsidR="00555B23">
        <w:rPr>
          <w:rFonts w:cs="David" w:hint="cs"/>
          <w:b/>
          <w:bCs/>
          <w:sz w:val="24"/>
          <w:szCs w:val="24"/>
          <w:rtl/>
        </w:rPr>
        <w:t>המירווח</w:t>
      </w:r>
      <w:proofErr w:type="spellEnd"/>
      <w:r w:rsidR="00555B23">
        <w:rPr>
          <w:rFonts w:cs="David" w:hint="cs"/>
          <w:b/>
          <w:bCs/>
          <w:sz w:val="24"/>
          <w:szCs w:val="24"/>
          <w:rtl/>
        </w:rPr>
        <w:t xml:space="preserve"> נטו. עם זאת</w:t>
      </w:r>
      <w:r w:rsidR="008E3AC4" w:rsidRPr="00162E20">
        <w:rPr>
          <w:rFonts w:cs="David" w:hint="cs"/>
          <w:b/>
          <w:bCs/>
          <w:sz w:val="24"/>
          <w:szCs w:val="24"/>
          <w:rtl/>
        </w:rPr>
        <w:t xml:space="preserve">, </w:t>
      </w:r>
      <w:r w:rsidRPr="00162E20">
        <w:rPr>
          <w:rFonts w:cs="David" w:hint="cs"/>
          <w:b/>
          <w:bCs/>
          <w:sz w:val="24"/>
          <w:szCs w:val="24"/>
          <w:rtl/>
        </w:rPr>
        <w:t xml:space="preserve">בסביבת ריביות נמוכה, </w:t>
      </w:r>
      <w:r w:rsidR="00497EB8">
        <w:rPr>
          <w:rFonts w:cs="David" w:hint="cs"/>
          <w:b/>
          <w:bCs/>
          <w:sz w:val="24"/>
          <w:szCs w:val="24"/>
          <w:rtl/>
        </w:rPr>
        <w:t>שינויי</w:t>
      </w:r>
      <w:r w:rsidR="00411CFA">
        <w:rPr>
          <w:rFonts w:cs="David" w:hint="cs"/>
          <w:b/>
          <w:bCs/>
          <w:sz w:val="24"/>
          <w:szCs w:val="24"/>
          <w:rtl/>
        </w:rPr>
        <w:t xml:space="preserve"> ריבית משפיעים על </w:t>
      </w:r>
      <w:proofErr w:type="spellStart"/>
      <w:r w:rsidR="00555B23">
        <w:rPr>
          <w:rFonts w:cs="David" w:hint="cs"/>
          <w:b/>
          <w:bCs/>
          <w:sz w:val="24"/>
          <w:szCs w:val="24"/>
          <w:rtl/>
        </w:rPr>
        <w:t>המירווח</w:t>
      </w:r>
      <w:proofErr w:type="spellEnd"/>
      <w:r w:rsidR="00555B23">
        <w:rPr>
          <w:rFonts w:cs="David" w:hint="cs"/>
          <w:b/>
          <w:bCs/>
          <w:sz w:val="24"/>
          <w:szCs w:val="24"/>
          <w:rtl/>
        </w:rPr>
        <w:t xml:space="preserve"> גם בשווקים ריכוזיים.</w:t>
      </w:r>
    </w:p>
    <w:p w:rsidR="00EA4F2E" w:rsidRPr="00162E20" w:rsidRDefault="00162E20" w:rsidP="00162E20">
      <w:pPr>
        <w:bidi/>
        <w:jc w:val="both"/>
        <w:rPr>
          <w:rFonts w:cs="David"/>
          <w:sz w:val="24"/>
          <w:szCs w:val="24"/>
          <w:rtl/>
        </w:rPr>
      </w:pPr>
      <w:r w:rsidRPr="00162E20">
        <w:rPr>
          <w:rFonts w:cs="David"/>
          <w:sz w:val="24"/>
          <w:szCs w:val="24"/>
          <w:rtl/>
        </w:rPr>
        <w:t xml:space="preserve"> </w:t>
      </w:r>
    </w:p>
    <w:p w:rsidR="00770429" w:rsidRPr="0080573C" w:rsidRDefault="00162E20" w:rsidP="008E3AC4">
      <w:pPr>
        <w:bidi/>
        <w:spacing w:line="360" w:lineRule="auto"/>
        <w:ind w:left="-7"/>
        <w:jc w:val="both"/>
        <w:rPr>
          <w:rFonts w:cs="David"/>
          <w:sz w:val="24"/>
          <w:szCs w:val="24"/>
          <w:rtl/>
        </w:rPr>
      </w:pPr>
      <w:r>
        <w:rPr>
          <w:rFonts w:cs="David" w:hint="cs"/>
          <w:sz w:val="24"/>
          <w:szCs w:val="24"/>
          <w:rtl/>
        </w:rPr>
        <w:t>הקשר בין רמת הריבית השוררת במשק לבין ביצועיהם של הבנקים הוא נושא חשוב בהבנה של השפעת המדיניות על המערכת הבנקאית ועל הפעילות הכלכלית, ובפרט שוק האשראי.</w:t>
      </w:r>
    </w:p>
    <w:p w:rsidR="00EA4F2E" w:rsidRDefault="00EA4F2E" w:rsidP="007D3482">
      <w:pPr>
        <w:bidi/>
        <w:spacing w:line="360" w:lineRule="auto"/>
        <w:ind w:left="-7"/>
        <w:jc w:val="both"/>
        <w:rPr>
          <w:rFonts w:cs="David"/>
          <w:sz w:val="24"/>
          <w:szCs w:val="24"/>
          <w:rtl/>
        </w:rPr>
      </w:pPr>
      <w:r w:rsidRPr="0080573C">
        <w:rPr>
          <w:rFonts w:cs="David" w:hint="eastAsia"/>
          <w:sz w:val="24"/>
          <w:szCs w:val="24"/>
          <w:rtl/>
        </w:rPr>
        <w:t>מחקר</w:t>
      </w:r>
      <w:r w:rsidRPr="0080573C">
        <w:rPr>
          <w:rFonts w:cs="David"/>
          <w:sz w:val="24"/>
          <w:szCs w:val="24"/>
          <w:rtl/>
        </w:rPr>
        <w:t xml:space="preserve"> חדש שכתבו </w:t>
      </w:r>
      <w:r w:rsidR="00162E20">
        <w:rPr>
          <w:rFonts w:cs="David" w:hint="cs"/>
          <w:sz w:val="24"/>
          <w:szCs w:val="24"/>
          <w:rtl/>
        </w:rPr>
        <w:t xml:space="preserve">נמרוד שגב, סיגל ריבון ומיקי </w:t>
      </w:r>
      <w:proofErr w:type="spellStart"/>
      <w:r w:rsidR="00162E20">
        <w:rPr>
          <w:rFonts w:cs="David" w:hint="cs"/>
          <w:sz w:val="24"/>
          <w:szCs w:val="24"/>
          <w:rtl/>
        </w:rPr>
        <w:t>קהן</w:t>
      </w:r>
      <w:proofErr w:type="spellEnd"/>
      <w:r w:rsidR="00C601B4" w:rsidRPr="0080573C">
        <w:rPr>
          <w:rFonts w:cs="David"/>
          <w:sz w:val="24"/>
          <w:szCs w:val="24"/>
          <w:rtl/>
        </w:rPr>
        <w:t xml:space="preserve"> </w:t>
      </w:r>
      <w:r w:rsidRPr="0080573C">
        <w:rPr>
          <w:rFonts w:cs="David" w:hint="eastAsia"/>
          <w:sz w:val="24"/>
          <w:szCs w:val="24"/>
          <w:rtl/>
        </w:rPr>
        <w:t>מחטיבת</w:t>
      </w:r>
      <w:r w:rsidRPr="0080573C">
        <w:rPr>
          <w:rFonts w:cs="David"/>
          <w:sz w:val="24"/>
          <w:szCs w:val="24"/>
          <w:rtl/>
        </w:rPr>
        <w:t xml:space="preserve"> המחקר, </w:t>
      </w:r>
      <w:r w:rsidR="00162E20">
        <w:rPr>
          <w:rFonts w:cs="David" w:hint="cs"/>
          <w:sz w:val="24"/>
          <w:szCs w:val="24"/>
          <w:rtl/>
        </w:rPr>
        <w:t xml:space="preserve">בשיתוף </w:t>
      </w:r>
      <w:proofErr w:type="spellStart"/>
      <w:r w:rsidR="00162E20">
        <w:rPr>
          <w:rFonts w:cs="David"/>
          <w:sz w:val="24"/>
          <w:szCs w:val="24"/>
        </w:rPr>
        <w:t>Jakob</w:t>
      </w:r>
      <w:proofErr w:type="spellEnd"/>
      <w:r w:rsidR="00162E20">
        <w:rPr>
          <w:rFonts w:cs="David"/>
          <w:sz w:val="24"/>
          <w:szCs w:val="24"/>
        </w:rPr>
        <w:t xml:space="preserve"> de </w:t>
      </w:r>
      <w:proofErr w:type="spellStart"/>
      <w:r w:rsidR="00162E20">
        <w:rPr>
          <w:rFonts w:cs="David"/>
          <w:sz w:val="24"/>
          <w:szCs w:val="24"/>
        </w:rPr>
        <w:t>Haan</w:t>
      </w:r>
      <w:proofErr w:type="spellEnd"/>
      <w:r w:rsidR="00162E20">
        <w:rPr>
          <w:rFonts w:cs="David" w:hint="cs"/>
          <w:sz w:val="24"/>
          <w:szCs w:val="24"/>
          <w:rtl/>
        </w:rPr>
        <w:t xml:space="preserve"> מה</w:t>
      </w:r>
      <w:r w:rsidR="00AB4765">
        <w:rPr>
          <w:rFonts w:cs="David" w:hint="cs"/>
          <w:sz w:val="24"/>
          <w:szCs w:val="24"/>
          <w:rtl/>
        </w:rPr>
        <w:t xml:space="preserve">אוניברסיטה של </w:t>
      </w:r>
      <w:proofErr w:type="spellStart"/>
      <w:r w:rsidR="00AB4765">
        <w:rPr>
          <w:rFonts w:cs="David" w:hint="cs"/>
          <w:sz w:val="24"/>
          <w:szCs w:val="24"/>
          <w:rtl/>
        </w:rPr>
        <w:t>גרוני</w:t>
      </w:r>
      <w:r w:rsidR="00881730">
        <w:rPr>
          <w:rFonts w:cs="David" w:hint="cs"/>
          <w:sz w:val="24"/>
          <w:szCs w:val="24"/>
          <w:rtl/>
        </w:rPr>
        <w:t>נ</w:t>
      </w:r>
      <w:r w:rsidR="00AB4765">
        <w:rPr>
          <w:rFonts w:cs="David" w:hint="cs"/>
          <w:sz w:val="24"/>
          <w:szCs w:val="24"/>
          <w:rtl/>
        </w:rPr>
        <w:t>גן</w:t>
      </w:r>
      <w:proofErr w:type="spellEnd"/>
      <w:r w:rsidR="00881730">
        <w:rPr>
          <w:rFonts w:cs="David" w:hint="cs"/>
          <w:sz w:val="24"/>
          <w:szCs w:val="24"/>
          <w:rtl/>
        </w:rPr>
        <w:t xml:space="preserve"> (</w:t>
      </w:r>
      <w:r w:rsidR="00881730">
        <w:rPr>
          <w:rFonts w:cs="David"/>
          <w:sz w:val="24"/>
          <w:szCs w:val="24"/>
        </w:rPr>
        <w:t>(</w:t>
      </w:r>
      <w:r w:rsidR="00881730">
        <w:rPr>
          <w:rFonts w:ascii="Arial" w:hAnsi="Arial" w:cs="Arial"/>
          <w:b/>
          <w:bCs/>
          <w:color w:val="202124"/>
          <w:shd w:val="clear" w:color="auto" w:fill="FFFFFF"/>
        </w:rPr>
        <w:t>Groningen</w:t>
      </w:r>
      <w:r w:rsidR="00AB4765">
        <w:rPr>
          <w:rFonts w:cs="David" w:hint="cs"/>
          <w:sz w:val="24"/>
          <w:szCs w:val="24"/>
          <w:rtl/>
        </w:rPr>
        <w:t>, עושה שימוש במאגר נתונים רחב ומפורט, הכולל מידע על בנקים ממדינות ה-</w:t>
      </w:r>
      <w:r w:rsidR="00AB4765">
        <w:rPr>
          <w:rFonts w:cs="David" w:hint="cs"/>
          <w:sz w:val="24"/>
          <w:szCs w:val="24"/>
        </w:rPr>
        <w:t>OECD</w:t>
      </w:r>
      <w:r w:rsidR="00AB4765">
        <w:rPr>
          <w:rFonts w:cs="David" w:hint="cs"/>
          <w:sz w:val="24"/>
          <w:szCs w:val="24"/>
          <w:rtl/>
        </w:rPr>
        <w:t xml:space="preserve"> </w:t>
      </w:r>
      <w:r w:rsidR="00A14D8E">
        <w:rPr>
          <w:rFonts w:cs="David" w:hint="cs"/>
          <w:sz w:val="24"/>
          <w:szCs w:val="24"/>
          <w:rtl/>
        </w:rPr>
        <w:t xml:space="preserve">לשנים 1995 עד 2019, </w:t>
      </w:r>
      <w:r w:rsidR="00AB4765">
        <w:rPr>
          <w:rFonts w:cs="David" w:hint="cs"/>
          <w:sz w:val="24"/>
          <w:szCs w:val="24"/>
          <w:rtl/>
        </w:rPr>
        <w:t xml:space="preserve">כדי לבחון את הגורמים המשפיעים על </w:t>
      </w:r>
      <w:proofErr w:type="spellStart"/>
      <w:r w:rsidR="00AB4765">
        <w:rPr>
          <w:rFonts w:cs="David" w:hint="cs"/>
          <w:sz w:val="24"/>
          <w:szCs w:val="24"/>
          <w:rtl/>
        </w:rPr>
        <w:t>מירווח</w:t>
      </w:r>
      <w:proofErr w:type="spellEnd"/>
      <w:r w:rsidR="00AB4765">
        <w:rPr>
          <w:rFonts w:cs="David" w:hint="cs"/>
          <w:sz w:val="24"/>
          <w:szCs w:val="24"/>
          <w:rtl/>
        </w:rPr>
        <w:t xml:space="preserve"> הריבית נטו של הבנקים (</w:t>
      </w:r>
      <w:r w:rsidR="00AB4765">
        <w:rPr>
          <w:rFonts w:cs="David" w:hint="cs"/>
          <w:sz w:val="24"/>
          <w:szCs w:val="24"/>
        </w:rPr>
        <w:t>N</w:t>
      </w:r>
      <w:r w:rsidR="00AB4765">
        <w:rPr>
          <w:rFonts w:cs="David"/>
          <w:sz w:val="24"/>
          <w:szCs w:val="24"/>
        </w:rPr>
        <w:t>et Interest Margin</w:t>
      </w:r>
      <w:r w:rsidR="00AB4765">
        <w:rPr>
          <w:rFonts w:cs="David" w:hint="cs"/>
          <w:sz w:val="24"/>
          <w:szCs w:val="24"/>
          <w:rtl/>
        </w:rPr>
        <w:t xml:space="preserve">), ובפרט, כיצד </w:t>
      </w:r>
      <w:proofErr w:type="spellStart"/>
      <w:r w:rsidR="00AB4765">
        <w:rPr>
          <w:rFonts w:cs="David" w:hint="cs"/>
          <w:sz w:val="24"/>
          <w:szCs w:val="24"/>
          <w:rtl/>
        </w:rPr>
        <w:t>מירווח</w:t>
      </w:r>
      <w:proofErr w:type="spellEnd"/>
      <w:r w:rsidR="00AB4765">
        <w:rPr>
          <w:rFonts w:cs="David" w:hint="cs"/>
          <w:sz w:val="24"/>
          <w:szCs w:val="24"/>
          <w:rtl/>
        </w:rPr>
        <w:t xml:space="preserve"> זה מושפע מסביבת הריבית הקצרה במשק וממידת התחרות המאפיינת את המערכת הבנקאית באותה מדינה.</w:t>
      </w:r>
      <w:r w:rsidR="007D3482">
        <w:rPr>
          <w:rFonts w:cs="David" w:hint="cs"/>
          <w:sz w:val="24"/>
          <w:szCs w:val="24"/>
          <w:rtl/>
        </w:rPr>
        <w:t xml:space="preserve"> המחקר הוא חלק מפרויקט במסגרת ה-</w:t>
      </w:r>
      <w:r w:rsidR="007D3482">
        <w:rPr>
          <w:rFonts w:cs="David" w:hint="cs"/>
          <w:sz w:val="24"/>
          <w:szCs w:val="24"/>
        </w:rPr>
        <w:t>IBRN</w:t>
      </w:r>
      <w:r w:rsidR="007D3482">
        <w:rPr>
          <w:rFonts w:cs="David" w:hint="cs"/>
          <w:sz w:val="24"/>
          <w:szCs w:val="24"/>
          <w:rtl/>
        </w:rPr>
        <w:t>, שהוא גוף מחקר בינלאומי לשיתוף פעולה בין בנקים מרכזיים בנושאי בנקאות.</w:t>
      </w:r>
    </w:p>
    <w:p w:rsidR="00851099" w:rsidRPr="00851099" w:rsidRDefault="00AB4765" w:rsidP="00851099">
      <w:pPr>
        <w:bidi/>
        <w:spacing w:line="360" w:lineRule="auto"/>
        <w:jc w:val="both"/>
        <w:rPr>
          <w:rFonts w:cs="David"/>
          <w:sz w:val="24"/>
          <w:szCs w:val="24"/>
        </w:rPr>
      </w:pPr>
      <w:r w:rsidRPr="00851099">
        <w:rPr>
          <w:rFonts w:cs="David" w:hint="cs"/>
          <w:sz w:val="24"/>
          <w:szCs w:val="24"/>
          <w:rtl/>
        </w:rPr>
        <w:t xml:space="preserve">המחקר מוצא שככל שהריבית הקצרה במשק גבוהה יותר, כך גדל </w:t>
      </w:r>
      <w:proofErr w:type="spellStart"/>
      <w:r w:rsidRPr="00851099">
        <w:rPr>
          <w:rFonts w:cs="David" w:hint="cs"/>
          <w:sz w:val="24"/>
          <w:szCs w:val="24"/>
          <w:rtl/>
        </w:rPr>
        <w:t>מירווח</w:t>
      </w:r>
      <w:proofErr w:type="spellEnd"/>
      <w:r w:rsidRPr="00851099">
        <w:rPr>
          <w:rFonts w:cs="David" w:hint="cs"/>
          <w:sz w:val="24"/>
          <w:szCs w:val="24"/>
          <w:rtl/>
        </w:rPr>
        <w:t xml:space="preserve"> הריבית </w:t>
      </w:r>
      <w:r w:rsidRPr="00851099">
        <w:rPr>
          <w:rFonts w:cs="David"/>
          <w:sz w:val="24"/>
          <w:szCs w:val="24"/>
          <w:rtl/>
        </w:rPr>
        <w:t>–</w:t>
      </w:r>
      <w:r w:rsidRPr="00851099">
        <w:rPr>
          <w:rFonts w:cs="David" w:hint="cs"/>
          <w:sz w:val="24"/>
          <w:szCs w:val="24"/>
          <w:rtl/>
        </w:rPr>
        <w:t xml:space="preserve"> הפער בין ההכנסה מריבית לעלות המקורות של הבנקים.</w:t>
      </w:r>
      <w:r w:rsidR="00B345B4" w:rsidRPr="00851099">
        <w:rPr>
          <w:rFonts w:cs="David" w:hint="cs"/>
          <w:sz w:val="24"/>
          <w:szCs w:val="24"/>
          <w:rtl/>
        </w:rPr>
        <w:t xml:space="preserve"> </w:t>
      </w:r>
      <w:r w:rsidR="00851099" w:rsidRPr="00851099">
        <w:rPr>
          <w:rFonts w:cs="David" w:hint="cs"/>
          <w:sz w:val="24"/>
          <w:szCs w:val="24"/>
          <w:rtl/>
        </w:rPr>
        <w:t xml:space="preserve">עוד נמצא שכשמערכת הבנקאות ריכוזית, שינויים בריבית כמעט </w:t>
      </w:r>
      <w:r w:rsidR="00851099" w:rsidRPr="00851099">
        <w:rPr>
          <w:rFonts w:cs="David" w:hint="cs"/>
          <w:sz w:val="24"/>
          <w:szCs w:val="24"/>
          <w:rtl/>
        </w:rPr>
        <w:lastRenderedPageBreak/>
        <w:t xml:space="preserve">שאינם משפיעים על </w:t>
      </w:r>
      <w:proofErr w:type="spellStart"/>
      <w:r w:rsidR="00851099" w:rsidRPr="00851099">
        <w:rPr>
          <w:rFonts w:cs="David" w:hint="cs"/>
          <w:sz w:val="24"/>
          <w:szCs w:val="24"/>
          <w:rtl/>
        </w:rPr>
        <w:t>המירווח</w:t>
      </w:r>
      <w:proofErr w:type="spellEnd"/>
      <w:r w:rsidR="00851099" w:rsidRPr="00851099">
        <w:rPr>
          <w:rFonts w:cs="David" w:hint="cs"/>
          <w:sz w:val="24"/>
          <w:szCs w:val="24"/>
          <w:rtl/>
        </w:rPr>
        <w:t xml:space="preserve"> נטו. עם זאת, בסביבת ריביות נמוכה, שינויי ריבית משפיעים על </w:t>
      </w:r>
      <w:proofErr w:type="spellStart"/>
      <w:r w:rsidR="00851099" w:rsidRPr="00851099">
        <w:rPr>
          <w:rFonts w:cs="David" w:hint="cs"/>
          <w:sz w:val="24"/>
          <w:szCs w:val="24"/>
          <w:rtl/>
        </w:rPr>
        <w:t>המירווח</w:t>
      </w:r>
      <w:proofErr w:type="spellEnd"/>
      <w:r w:rsidR="00851099" w:rsidRPr="00851099">
        <w:rPr>
          <w:rFonts w:cs="David" w:hint="cs"/>
          <w:sz w:val="24"/>
          <w:szCs w:val="24"/>
          <w:rtl/>
        </w:rPr>
        <w:t xml:space="preserve"> גם בשווקים ריכוזיים.</w:t>
      </w:r>
    </w:p>
    <w:p w:rsidR="00851099" w:rsidRPr="00851099" w:rsidRDefault="00851099" w:rsidP="00851099">
      <w:pPr>
        <w:bidi/>
        <w:spacing w:line="360" w:lineRule="auto"/>
        <w:ind w:left="-7"/>
        <w:jc w:val="both"/>
        <w:rPr>
          <w:rFonts w:cs="David"/>
          <w:sz w:val="24"/>
          <w:szCs w:val="24"/>
          <w:rtl/>
        </w:rPr>
      </w:pPr>
    </w:p>
    <w:p w:rsidR="00AB4765" w:rsidRDefault="00AB4765" w:rsidP="00A14D8E">
      <w:pPr>
        <w:bidi/>
        <w:spacing w:line="360" w:lineRule="auto"/>
        <w:ind w:left="-7"/>
        <w:jc w:val="both"/>
        <w:rPr>
          <w:rFonts w:cs="David"/>
          <w:sz w:val="24"/>
          <w:szCs w:val="24"/>
          <w:rtl/>
        </w:rPr>
      </w:pPr>
      <w:r>
        <w:rPr>
          <w:rFonts w:cs="David" w:hint="cs"/>
          <w:sz w:val="24"/>
          <w:szCs w:val="24"/>
          <w:rtl/>
        </w:rPr>
        <w:t xml:space="preserve">בשנים האחרונות, בפרט מאז המשבר הפיננסי העולמי ב-2008, הריביות הקצרות בעולם ירדו מאד, ובמדינות רבות הן התקרבו מאד לאפס. </w:t>
      </w:r>
      <w:r w:rsidR="006C7067">
        <w:rPr>
          <w:rFonts w:cs="David" w:hint="cs"/>
          <w:sz w:val="24"/>
          <w:szCs w:val="24"/>
          <w:rtl/>
        </w:rPr>
        <w:t xml:space="preserve">איור 1 מציג את </w:t>
      </w:r>
      <w:r w:rsidR="00A14D8E">
        <w:rPr>
          <w:rFonts w:cs="David" w:hint="cs"/>
          <w:sz w:val="24"/>
          <w:szCs w:val="24"/>
          <w:rtl/>
        </w:rPr>
        <w:t>טווח הריביות במדינות ה-</w:t>
      </w:r>
      <w:r w:rsidR="00A14D8E">
        <w:rPr>
          <w:rFonts w:cs="David" w:hint="cs"/>
          <w:sz w:val="24"/>
          <w:szCs w:val="24"/>
        </w:rPr>
        <w:t>OECD</w:t>
      </w:r>
      <w:r w:rsidR="00A14D8E">
        <w:rPr>
          <w:rFonts w:cs="David" w:hint="cs"/>
          <w:sz w:val="24"/>
          <w:szCs w:val="24"/>
          <w:rtl/>
        </w:rPr>
        <w:t xml:space="preserve"> על פני שנים, ועולה ממנו מגמת הירידה המשמעותית. </w:t>
      </w:r>
    </w:p>
    <w:p w:rsidR="00A14D8E" w:rsidRPr="00A14D8E" w:rsidRDefault="00A14D8E" w:rsidP="00A14D8E">
      <w:pPr>
        <w:bidi/>
        <w:spacing w:line="360" w:lineRule="auto"/>
        <w:ind w:left="-7"/>
        <w:jc w:val="center"/>
        <w:rPr>
          <w:rFonts w:cs="David"/>
          <w:sz w:val="24"/>
          <w:szCs w:val="24"/>
          <w:u w:val="single"/>
          <w:rtl/>
        </w:rPr>
      </w:pPr>
      <w:r w:rsidRPr="00A14D8E">
        <w:rPr>
          <w:rFonts w:cs="David" w:hint="cs"/>
          <w:sz w:val="24"/>
          <w:szCs w:val="24"/>
          <w:u w:val="single"/>
          <w:rtl/>
        </w:rPr>
        <w:t>איור 1: הריביות הקצרות במדינות ה-</w:t>
      </w:r>
      <w:r w:rsidRPr="00A14D8E">
        <w:rPr>
          <w:rFonts w:cs="David" w:hint="cs"/>
          <w:sz w:val="24"/>
          <w:szCs w:val="24"/>
          <w:u w:val="single"/>
        </w:rPr>
        <w:t>OECD</w:t>
      </w:r>
      <w:r w:rsidRPr="00A14D8E">
        <w:rPr>
          <w:rFonts w:cs="David" w:hint="cs"/>
          <w:sz w:val="24"/>
          <w:szCs w:val="24"/>
          <w:u w:val="single"/>
          <w:rtl/>
        </w:rPr>
        <w:t>, 1995-2019</w:t>
      </w:r>
    </w:p>
    <w:p w:rsidR="006C7067" w:rsidRDefault="006C7067" w:rsidP="006C7067">
      <w:pPr>
        <w:bidi/>
        <w:spacing w:line="360" w:lineRule="auto"/>
        <w:ind w:left="-7"/>
        <w:jc w:val="both"/>
        <w:rPr>
          <w:rFonts w:cs="David"/>
          <w:sz w:val="24"/>
          <w:szCs w:val="24"/>
          <w:rtl/>
        </w:rPr>
      </w:pPr>
      <w:r>
        <w:rPr>
          <w:noProof/>
        </w:rPr>
        <w:drawing>
          <wp:inline distT="0" distB="0" distL="0" distR="0" wp14:anchorId="77194A83" wp14:editId="204C715D">
            <wp:extent cx="5486400" cy="2818464"/>
            <wp:effectExtent l="0" t="0" r="0" b="127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818464"/>
                    </a:xfrm>
                    <a:prstGeom prst="rect">
                      <a:avLst/>
                    </a:prstGeom>
                    <a:noFill/>
                    <a:ln>
                      <a:noFill/>
                    </a:ln>
                  </pic:spPr>
                </pic:pic>
              </a:graphicData>
            </a:graphic>
          </wp:inline>
        </w:drawing>
      </w:r>
    </w:p>
    <w:p w:rsidR="00A14D8E" w:rsidRPr="00A14D8E" w:rsidRDefault="00A14D8E" w:rsidP="00A14D8E">
      <w:pPr>
        <w:bidi/>
        <w:spacing w:line="240" w:lineRule="auto"/>
        <w:ind w:left="-7"/>
        <w:jc w:val="both"/>
        <w:rPr>
          <w:rFonts w:cs="David"/>
          <w:rtl/>
        </w:rPr>
      </w:pPr>
      <w:r w:rsidRPr="00A14D8E">
        <w:rPr>
          <w:rFonts w:cs="David" w:hint="cs"/>
          <w:rtl/>
        </w:rPr>
        <w:t xml:space="preserve">*הקו השחור מייצג את החציון וקצות הקופסה את האחוזון ה-25% וה-75% של הריבית במדגם המדינות. קצות </w:t>
      </w:r>
      <w:proofErr w:type="spellStart"/>
      <w:r w:rsidRPr="00A14D8E">
        <w:rPr>
          <w:rFonts w:cs="David" w:hint="cs"/>
          <w:rtl/>
        </w:rPr>
        <w:t>הקוים</w:t>
      </w:r>
      <w:proofErr w:type="spellEnd"/>
      <w:r w:rsidRPr="00A14D8E">
        <w:rPr>
          <w:rFonts w:cs="David" w:hint="cs"/>
          <w:rtl/>
        </w:rPr>
        <w:t xml:space="preserve"> מייצגים את הערכים המינימליים ומקסימליים (ללא ערכים חריגים), והנקודות מייצגות תצפיות חריגות שלא נכללו.</w:t>
      </w:r>
      <w:r>
        <w:rPr>
          <w:rFonts w:cs="David" w:hint="cs"/>
          <w:rtl/>
        </w:rPr>
        <w:t xml:space="preserve"> הקו המקווקו מייצג את ריבית הסף (1.25%) מתחתיה הגדרנו את הריבית כ"ריבית נמוכה".</w:t>
      </w:r>
    </w:p>
    <w:p w:rsidR="00A14D8E" w:rsidRDefault="00A14D8E" w:rsidP="00AB4765">
      <w:pPr>
        <w:bidi/>
        <w:spacing w:line="360" w:lineRule="auto"/>
        <w:ind w:left="-7"/>
        <w:jc w:val="both"/>
        <w:rPr>
          <w:rFonts w:cs="David"/>
          <w:sz w:val="24"/>
          <w:szCs w:val="24"/>
          <w:rtl/>
        </w:rPr>
      </w:pPr>
    </w:p>
    <w:p w:rsidR="00AB4765" w:rsidRDefault="00AB4765" w:rsidP="00555B23">
      <w:pPr>
        <w:bidi/>
        <w:spacing w:line="360" w:lineRule="auto"/>
        <w:ind w:left="-7"/>
        <w:jc w:val="both"/>
        <w:rPr>
          <w:rFonts w:cs="David"/>
          <w:sz w:val="24"/>
          <w:szCs w:val="24"/>
          <w:rtl/>
        </w:rPr>
      </w:pPr>
      <w:r>
        <w:rPr>
          <w:rFonts w:cs="David" w:hint="cs"/>
          <w:sz w:val="24"/>
          <w:szCs w:val="24"/>
          <w:rtl/>
        </w:rPr>
        <w:t xml:space="preserve">המחקר בוחן האם לסביבת ריבית נמוכה השפעה שונה על </w:t>
      </w:r>
      <w:proofErr w:type="spellStart"/>
      <w:r>
        <w:rPr>
          <w:rFonts w:cs="David" w:hint="cs"/>
          <w:sz w:val="24"/>
          <w:szCs w:val="24"/>
          <w:rtl/>
        </w:rPr>
        <w:t>מירווחי</w:t>
      </w:r>
      <w:proofErr w:type="spellEnd"/>
      <w:r>
        <w:rPr>
          <w:rFonts w:cs="David" w:hint="cs"/>
          <w:sz w:val="24"/>
          <w:szCs w:val="24"/>
          <w:rtl/>
        </w:rPr>
        <w:t xml:space="preserve"> הריבית של הבנקים.</w:t>
      </w:r>
      <w:r w:rsidR="00A14D8E">
        <w:rPr>
          <w:rFonts w:cs="David" w:hint="cs"/>
          <w:sz w:val="24"/>
          <w:szCs w:val="24"/>
          <w:rtl/>
        </w:rPr>
        <w:t xml:space="preserve"> במחקר </w:t>
      </w:r>
      <w:r w:rsidR="00555B23">
        <w:rPr>
          <w:rFonts w:cs="David" w:hint="cs"/>
          <w:sz w:val="24"/>
          <w:szCs w:val="24"/>
          <w:rtl/>
        </w:rPr>
        <w:t>הוגדרה</w:t>
      </w:r>
      <w:r w:rsidR="00A14D8E">
        <w:rPr>
          <w:rFonts w:cs="David" w:hint="cs"/>
          <w:sz w:val="24"/>
          <w:szCs w:val="24"/>
          <w:rtl/>
        </w:rPr>
        <w:t xml:space="preserve"> בדומה למחקרים אחרים בעולם, "ריבית נמוכה" להיות ריבית הנמוכה מ-1.25% (מסומנת בקו מקווקו באיור).  מאיור 1 עולה כי ברוב המדינות שררה ריבית נמוכה בשנים האחרונות.</w:t>
      </w:r>
      <w:r w:rsidR="009D385E">
        <w:rPr>
          <w:rFonts w:cs="David" w:hint="cs"/>
          <w:sz w:val="24"/>
          <w:szCs w:val="24"/>
          <w:rtl/>
        </w:rPr>
        <w:t xml:space="preserve"> החוקרים מוצאים שבסביבת ריבית נמוכה, לשינויים בריבית השוק הקצרה השפעה גדולה יותר על </w:t>
      </w:r>
      <w:proofErr w:type="spellStart"/>
      <w:r w:rsidR="009D385E">
        <w:rPr>
          <w:rFonts w:cs="David" w:hint="cs"/>
          <w:sz w:val="24"/>
          <w:szCs w:val="24"/>
          <w:rtl/>
        </w:rPr>
        <w:t>המירווח</w:t>
      </w:r>
      <w:proofErr w:type="spellEnd"/>
      <w:r w:rsidR="009D385E">
        <w:rPr>
          <w:rFonts w:cs="David" w:hint="cs"/>
          <w:sz w:val="24"/>
          <w:szCs w:val="24"/>
          <w:rtl/>
        </w:rPr>
        <w:t xml:space="preserve"> נטו. התוצאה הזו משקפת השפעה גדולה יותר על צד ההכנסות לצד השפעה חלשה יותר על צד ההוצאות. כלומר, כאשר, למשל, מתרחשת ירידת ריבית, כשהריבית היא מלכתחילה נמוכה, הכנסות הבנקים מריבית יורדות במידה משמעותית יותר מהירידה </w:t>
      </w:r>
      <w:proofErr w:type="spellStart"/>
      <w:r w:rsidR="009D385E">
        <w:rPr>
          <w:rFonts w:cs="David" w:hint="cs"/>
          <w:sz w:val="24"/>
          <w:szCs w:val="24"/>
          <w:rtl/>
        </w:rPr>
        <w:t>שהיתה</w:t>
      </w:r>
      <w:proofErr w:type="spellEnd"/>
      <w:r w:rsidR="009D385E">
        <w:rPr>
          <w:rFonts w:cs="David" w:hint="cs"/>
          <w:sz w:val="24"/>
          <w:szCs w:val="24"/>
          <w:rtl/>
        </w:rPr>
        <w:t xml:space="preserve"> </w:t>
      </w:r>
      <w:r w:rsidR="00555B23">
        <w:rPr>
          <w:rFonts w:cs="David" w:hint="cs"/>
          <w:sz w:val="24"/>
          <w:szCs w:val="24"/>
          <w:rtl/>
        </w:rPr>
        <w:t xml:space="preserve">מתרחשת </w:t>
      </w:r>
      <w:r w:rsidR="009D385E">
        <w:rPr>
          <w:rFonts w:cs="David" w:hint="cs"/>
          <w:sz w:val="24"/>
          <w:szCs w:val="24"/>
          <w:rtl/>
        </w:rPr>
        <w:t xml:space="preserve">בסביבה של ריביות גבוהות, ואילו הוצאות הבנקים קטנות רק במעט, ביחס לצמצום בהן שהיה מתרחש לו הריבית </w:t>
      </w:r>
      <w:proofErr w:type="spellStart"/>
      <w:r w:rsidR="009D385E">
        <w:rPr>
          <w:rFonts w:cs="David" w:hint="cs"/>
          <w:sz w:val="24"/>
          <w:szCs w:val="24"/>
          <w:rtl/>
        </w:rPr>
        <w:t>היתה</w:t>
      </w:r>
      <w:proofErr w:type="spellEnd"/>
      <w:r w:rsidR="009D385E">
        <w:rPr>
          <w:rFonts w:cs="David" w:hint="cs"/>
          <w:sz w:val="24"/>
          <w:szCs w:val="24"/>
          <w:rtl/>
        </w:rPr>
        <w:t xml:space="preserve"> בסביבה גבוהה יותר. תוצאה זו עקבית עם ההערכה שכיון שהבנקים מוגבלים ביכולתם להוריד את הריבית על פיקדונות </w:t>
      </w:r>
      <w:r w:rsidR="009D385E">
        <w:rPr>
          <w:rFonts w:cs="David" w:hint="cs"/>
          <w:sz w:val="24"/>
          <w:szCs w:val="24"/>
          <w:rtl/>
        </w:rPr>
        <w:lastRenderedPageBreak/>
        <w:t xml:space="preserve">קמעונאיים </w:t>
      </w:r>
      <w:r w:rsidR="007D3482">
        <w:rPr>
          <w:rFonts w:cs="David" w:hint="cs"/>
          <w:sz w:val="24"/>
          <w:szCs w:val="24"/>
          <w:rtl/>
        </w:rPr>
        <w:t xml:space="preserve">ובפרט </w:t>
      </w:r>
      <w:r w:rsidR="009D385E">
        <w:rPr>
          <w:rFonts w:cs="David" w:hint="cs"/>
          <w:sz w:val="24"/>
          <w:szCs w:val="24"/>
          <w:rtl/>
        </w:rPr>
        <w:t xml:space="preserve">לריבית שלילית, יכולתם להתאים את </w:t>
      </w:r>
      <w:r w:rsidR="007D3482">
        <w:rPr>
          <w:rFonts w:cs="David" w:hint="cs"/>
          <w:sz w:val="24"/>
          <w:szCs w:val="24"/>
          <w:rtl/>
        </w:rPr>
        <w:t>הוצאות המימון שלהם</w:t>
      </w:r>
      <w:r w:rsidR="009D385E">
        <w:rPr>
          <w:rFonts w:cs="David" w:hint="cs"/>
          <w:sz w:val="24"/>
          <w:szCs w:val="24"/>
          <w:rtl/>
        </w:rPr>
        <w:t xml:space="preserve"> מוגבלת, ולכן ההשפעה על </w:t>
      </w:r>
      <w:proofErr w:type="spellStart"/>
      <w:r w:rsidR="009D385E">
        <w:rPr>
          <w:rFonts w:cs="David" w:hint="cs"/>
          <w:sz w:val="24"/>
          <w:szCs w:val="24"/>
          <w:rtl/>
        </w:rPr>
        <w:t>המירווח</w:t>
      </w:r>
      <w:proofErr w:type="spellEnd"/>
      <w:r w:rsidR="009D385E">
        <w:rPr>
          <w:rFonts w:cs="David" w:hint="cs"/>
          <w:sz w:val="24"/>
          <w:szCs w:val="24"/>
          <w:rtl/>
        </w:rPr>
        <w:t xml:space="preserve"> נטו גדולה יותר.</w:t>
      </w:r>
    </w:p>
    <w:p w:rsidR="009D385E" w:rsidRDefault="009D385E" w:rsidP="00007B7C">
      <w:pPr>
        <w:bidi/>
        <w:spacing w:line="360" w:lineRule="auto"/>
        <w:ind w:left="-7"/>
        <w:jc w:val="both"/>
        <w:rPr>
          <w:rFonts w:cs="David"/>
          <w:sz w:val="24"/>
          <w:szCs w:val="24"/>
          <w:rtl/>
        </w:rPr>
      </w:pPr>
      <w:r>
        <w:rPr>
          <w:rFonts w:cs="David" w:hint="cs"/>
          <w:sz w:val="24"/>
          <w:szCs w:val="24"/>
          <w:rtl/>
        </w:rPr>
        <w:t xml:space="preserve">בשלב הבא, החוקרים בחנו האם תופעה זו תלויה במידת הריכוזיות שמאפיינת את מערכת הבנקאות במדינות השונות. ככל שבמדינה פועלים יותר בנקים, כך מידת הריכוזיות, כפי שנאמדה במחקר, נמוכה יותר. </w:t>
      </w:r>
      <w:r w:rsidR="00F1266D">
        <w:rPr>
          <w:rFonts w:cs="David" w:hint="cs"/>
          <w:sz w:val="24"/>
          <w:szCs w:val="24"/>
          <w:rtl/>
        </w:rPr>
        <w:t xml:space="preserve">ניכרת שונות גדולה בין המדינות השונות </w:t>
      </w:r>
      <w:r w:rsidR="00F1266D">
        <w:rPr>
          <w:rFonts w:cs="David"/>
          <w:sz w:val="24"/>
          <w:szCs w:val="24"/>
          <w:rtl/>
        </w:rPr>
        <w:t>–</w:t>
      </w:r>
      <w:r w:rsidR="00F1266D">
        <w:rPr>
          <w:rFonts w:cs="David" w:hint="cs"/>
          <w:sz w:val="24"/>
          <w:szCs w:val="24"/>
          <w:rtl/>
        </w:rPr>
        <w:t xml:space="preserve"> בעוד בגרמניה פועלים יותר מ-2,500 בנקים, מאות בנקים באוסטריה, איטליה ויפן, למשל, במדינות אחרות פועלים רק </w:t>
      </w:r>
      <w:r w:rsidR="00007B7C">
        <w:rPr>
          <w:rFonts w:cs="David" w:hint="cs"/>
          <w:sz w:val="24"/>
          <w:szCs w:val="24"/>
          <w:rtl/>
        </w:rPr>
        <w:t>בנקים ספורים</w:t>
      </w:r>
      <w:r w:rsidR="00F1266D">
        <w:rPr>
          <w:rFonts w:cs="David" w:hint="cs"/>
          <w:sz w:val="24"/>
          <w:szCs w:val="24"/>
          <w:rtl/>
        </w:rPr>
        <w:t>.</w:t>
      </w:r>
    </w:p>
    <w:p w:rsidR="00F30075" w:rsidRDefault="007D3482" w:rsidP="00411CFA">
      <w:pPr>
        <w:bidi/>
        <w:spacing w:line="360" w:lineRule="auto"/>
        <w:jc w:val="both"/>
        <w:rPr>
          <w:rFonts w:ascii="Palatino Linotype" w:hAnsi="Palatino Linotype" w:cs="David"/>
          <w:sz w:val="24"/>
          <w:szCs w:val="24"/>
          <w:rtl/>
        </w:rPr>
      </w:pPr>
      <w:r w:rsidRPr="007D3482">
        <w:rPr>
          <w:rFonts w:ascii="Palatino Linotype" w:hAnsi="Palatino Linotype" w:cs="David" w:hint="cs"/>
          <w:sz w:val="24"/>
          <w:szCs w:val="24"/>
          <w:rtl/>
        </w:rPr>
        <w:t>נמצא</w:t>
      </w:r>
      <w:r>
        <w:rPr>
          <w:rFonts w:ascii="Palatino Linotype" w:hAnsi="Palatino Linotype" w:cs="David" w:hint="cs"/>
          <w:sz w:val="24"/>
          <w:szCs w:val="24"/>
          <w:rtl/>
        </w:rPr>
        <w:t xml:space="preserve"> שככל שמערכת הבנקאות ריכוזית יותר הקשר בין שינויים בריביות השוק ושינויים </w:t>
      </w:r>
      <w:proofErr w:type="spellStart"/>
      <w:r>
        <w:rPr>
          <w:rFonts w:ascii="Palatino Linotype" w:hAnsi="Palatino Linotype" w:cs="David" w:hint="cs"/>
          <w:sz w:val="24"/>
          <w:szCs w:val="24"/>
          <w:rtl/>
        </w:rPr>
        <w:t>במירווח</w:t>
      </w:r>
      <w:proofErr w:type="spellEnd"/>
      <w:r>
        <w:rPr>
          <w:rFonts w:ascii="Palatino Linotype" w:hAnsi="Palatino Linotype" w:cs="David" w:hint="cs"/>
          <w:sz w:val="24"/>
          <w:szCs w:val="24"/>
          <w:rtl/>
        </w:rPr>
        <w:t xml:space="preserve"> נטו חלש</w:t>
      </w:r>
      <w:r w:rsidR="00F30075">
        <w:rPr>
          <w:rFonts w:ascii="Palatino Linotype" w:hAnsi="Palatino Linotype" w:cs="David" w:hint="cs"/>
          <w:sz w:val="24"/>
          <w:szCs w:val="24"/>
          <w:rtl/>
        </w:rPr>
        <w:t xml:space="preserve"> יותר, כך </w:t>
      </w:r>
      <w:proofErr w:type="spellStart"/>
      <w:r w:rsidR="00F30075">
        <w:rPr>
          <w:rFonts w:ascii="Palatino Linotype" w:hAnsi="Palatino Linotype" w:cs="David" w:hint="cs"/>
          <w:sz w:val="24"/>
          <w:szCs w:val="24"/>
          <w:rtl/>
        </w:rPr>
        <w:t>שהמירווח</w:t>
      </w:r>
      <w:proofErr w:type="spellEnd"/>
      <w:r w:rsidR="00F30075">
        <w:rPr>
          <w:rFonts w:ascii="Palatino Linotype" w:hAnsi="Palatino Linotype" w:cs="David" w:hint="cs"/>
          <w:sz w:val="24"/>
          <w:szCs w:val="24"/>
          <w:rtl/>
        </w:rPr>
        <w:t xml:space="preserve"> נטו של בנקים בשווקים ריכוזיים לא מושפע באופן מובהק משינויים בריבית. בסביבה של ריבית נמוכה </w:t>
      </w:r>
      <w:proofErr w:type="spellStart"/>
      <w:r w:rsidR="00F30075">
        <w:rPr>
          <w:rFonts w:ascii="Palatino Linotype" w:hAnsi="Palatino Linotype" w:cs="David" w:hint="cs"/>
          <w:sz w:val="24"/>
          <w:szCs w:val="24"/>
          <w:rtl/>
        </w:rPr>
        <w:t>המירווח</w:t>
      </w:r>
      <w:proofErr w:type="spellEnd"/>
      <w:r w:rsidR="00F30075">
        <w:rPr>
          <w:rFonts w:ascii="Palatino Linotype" w:hAnsi="Palatino Linotype" w:cs="David" w:hint="cs"/>
          <w:sz w:val="24"/>
          <w:szCs w:val="24"/>
          <w:rtl/>
        </w:rPr>
        <w:t xml:space="preserve"> נטו, גם עבור בנקים שפועלים במערכת ריכוזית מושפע מירידה בריבית, אם כי במידה פחותה מאשר עבור בנקים </w:t>
      </w:r>
      <w:r w:rsidR="0094530D">
        <w:rPr>
          <w:rFonts w:ascii="Palatino Linotype" w:hAnsi="Palatino Linotype" w:cs="David" w:hint="cs"/>
          <w:sz w:val="24"/>
          <w:szCs w:val="24"/>
          <w:rtl/>
        </w:rPr>
        <w:t>ב</w:t>
      </w:r>
      <w:r w:rsidR="00F30075">
        <w:rPr>
          <w:rFonts w:ascii="Palatino Linotype" w:hAnsi="Palatino Linotype" w:cs="David" w:hint="cs"/>
          <w:sz w:val="24"/>
          <w:szCs w:val="24"/>
          <w:rtl/>
        </w:rPr>
        <w:t xml:space="preserve">מערכת בנקאות תחרותית יותר. זה קורה </w:t>
      </w:r>
      <w:r w:rsidR="0094530D">
        <w:rPr>
          <w:rFonts w:ascii="Palatino Linotype" w:hAnsi="Palatino Linotype" w:cs="David" w:hint="cs"/>
          <w:sz w:val="24"/>
          <w:szCs w:val="24"/>
          <w:rtl/>
        </w:rPr>
        <w:t>מ</w:t>
      </w:r>
      <w:r w:rsidR="00F30075">
        <w:rPr>
          <w:rFonts w:ascii="Palatino Linotype" w:hAnsi="Palatino Linotype" w:cs="David" w:hint="cs"/>
          <w:sz w:val="24"/>
          <w:szCs w:val="24"/>
          <w:rtl/>
        </w:rPr>
        <w:t>כיו</w:t>
      </w:r>
      <w:r w:rsidR="0094530D">
        <w:rPr>
          <w:rFonts w:ascii="Palatino Linotype" w:hAnsi="Palatino Linotype" w:cs="David" w:hint="cs"/>
          <w:sz w:val="24"/>
          <w:szCs w:val="24"/>
          <w:rtl/>
        </w:rPr>
        <w:t>ו</w:t>
      </w:r>
      <w:r w:rsidR="00F30075">
        <w:rPr>
          <w:rFonts w:ascii="Palatino Linotype" w:hAnsi="Palatino Linotype" w:cs="David" w:hint="cs"/>
          <w:sz w:val="24"/>
          <w:szCs w:val="24"/>
          <w:rtl/>
        </w:rPr>
        <w:t xml:space="preserve">ן שגם בנקים בשווקים תחרותיים </w:t>
      </w:r>
      <w:r w:rsidR="0094530D">
        <w:rPr>
          <w:rFonts w:ascii="Palatino Linotype" w:hAnsi="Palatino Linotype" w:cs="David" w:hint="cs"/>
          <w:sz w:val="24"/>
          <w:szCs w:val="24"/>
          <w:rtl/>
        </w:rPr>
        <w:t xml:space="preserve">פחות </w:t>
      </w:r>
      <w:r w:rsidR="00F30075">
        <w:rPr>
          <w:rFonts w:ascii="Palatino Linotype" w:hAnsi="Palatino Linotype" w:cs="David" w:hint="cs"/>
          <w:sz w:val="24"/>
          <w:szCs w:val="24"/>
          <w:rtl/>
        </w:rPr>
        <w:t>מתקשים להתאים כלפי מטה את הוצאות הריבית</w:t>
      </w:r>
      <w:r w:rsidR="0094530D">
        <w:rPr>
          <w:rFonts w:ascii="Palatino Linotype" w:hAnsi="Palatino Linotype" w:cs="David" w:hint="cs"/>
          <w:sz w:val="24"/>
          <w:szCs w:val="24"/>
          <w:rtl/>
        </w:rPr>
        <w:t xml:space="preserve"> </w:t>
      </w:r>
      <w:r w:rsidR="00F30075">
        <w:rPr>
          <w:rFonts w:ascii="Palatino Linotype" w:hAnsi="Palatino Linotype" w:cs="David" w:hint="cs"/>
          <w:sz w:val="24"/>
          <w:szCs w:val="24"/>
          <w:rtl/>
        </w:rPr>
        <w:t xml:space="preserve">שלהם </w:t>
      </w:r>
      <w:r w:rsidR="0094530D">
        <w:rPr>
          <w:rFonts w:ascii="Palatino Linotype" w:hAnsi="Palatino Linotype" w:cs="David" w:hint="cs"/>
          <w:sz w:val="24"/>
          <w:szCs w:val="24"/>
          <w:rtl/>
        </w:rPr>
        <w:t xml:space="preserve">(קרי התשלום עבור </w:t>
      </w:r>
      <w:r w:rsidR="00881730">
        <w:rPr>
          <w:rFonts w:ascii="Palatino Linotype" w:hAnsi="Palatino Linotype" w:cs="David" w:hint="cs"/>
          <w:sz w:val="24"/>
          <w:szCs w:val="24"/>
          <w:rtl/>
        </w:rPr>
        <w:t xml:space="preserve">המקורות למתן אשראי, ובפרט, </w:t>
      </w:r>
      <w:r w:rsidR="0094530D">
        <w:rPr>
          <w:rFonts w:ascii="Palatino Linotype" w:hAnsi="Palatino Linotype" w:cs="David" w:hint="cs"/>
          <w:sz w:val="24"/>
          <w:szCs w:val="24"/>
          <w:rtl/>
        </w:rPr>
        <w:t xml:space="preserve">פיקדונות הציבור בהם) </w:t>
      </w:r>
      <w:r w:rsidR="00F30075">
        <w:rPr>
          <w:rFonts w:ascii="Palatino Linotype" w:hAnsi="Palatino Linotype" w:cs="David" w:hint="cs"/>
          <w:sz w:val="24"/>
          <w:szCs w:val="24"/>
          <w:rtl/>
        </w:rPr>
        <w:t>כאשר הריבית קרובה לאפס.</w:t>
      </w:r>
      <w:r w:rsidR="00B87D9D">
        <w:rPr>
          <w:rFonts w:ascii="Palatino Linotype" w:hAnsi="Palatino Linotype" w:cs="David" w:hint="cs"/>
          <w:sz w:val="24"/>
          <w:szCs w:val="24"/>
          <w:rtl/>
        </w:rPr>
        <w:t xml:space="preserve"> בלוח המצורף ניתן לראות </w:t>
      </w:r>
      <w:proofErr w:type="spellStart"/>
      <w:r w:rsidR="00B87D9D">
        <w:rPr>
          <w:rFonts w:ascii="Palatino Linotype" w:hAnsi="Palatino Linotype" w:cs="David" w:hint="cs"/>
          <w:sz w:val="24"/>
          <w:szCs w:val="24"/>
          <w:rtl/>
        </w:rPr>
        <w:t>שהמירווח</w:t>
      </w:r>
      <w:proofErr w:type="spellEnd"/>
      <w:r w:rsidR="00B87D9D">
        <w:rPr>
          <w:rFonts w:ascii="Palatino Linotype" w:hAnsi="Palatino Linotype" w:cs="David" w:hint="cs"/>
          <w:sz w:val="24"/>
          <w:szCs w:val="24"/>
          <w:rtl/>
        </w:rPr>
        <w:t xml:space="preserve"> של בנקים בשוק ריכוזי לא מושפעים משינויים בריבית כשסביבת הריבית </w:t>
      </w:r>
      <w:r w:rsidR="00411CFA">
        <w:rPr>
          <w:rFonts w:ascii="Palatino Linotype" w:hAnsi="Palatino Linotype" w:cs="David" w:hint="cs"/>
          <w:sz w:val="24"/>
          <w:szCs w:val="24"/>
          <w:rtl/>
        </w:rPr>
        <w:t>גבוהה</w:t>
      </w:r>
      <w:r w:rsidR="00B87D9D">
        <w:rPr>
          <w:rFonts w:ascii="Palatino Linotype" w:hAnsi="Palatino Linotype" w:cs="David" w:hint="cs"/>
          <w:sz w:val="24"/>
          <w:szCs w:val="24"/>
          <w:rtl/>
        </w:rPr>
        <w:t xml:space="preserve">, </w:t>
      </w:r>
      <w:proofErr w:type="spellStart"/>
      <w:r w:rsidR="00411CFA">
        <w:rPr>
          <w:rFonts w:ascii="Palatino Linotype" w:hAnsi="Palatino Linotype" w:cs="David" w:hint="cs"/>
          <w:sz w:val="24"/>
          <w:szCs w:val="24"/>
          <w:rtl/>
        </w:rPr>
        <w:t>וש</w:t>
      </w:r>
      <w:r w:rsidR="00B87D9D">
        <w:rPr>
          <w:rFonts w:ascii="Palatino Linotype" w:hAnsi="Palatino Linotype" w:cs="David" w:hint="cs"/>
          <w:sz w:val="24"/>
          <w:szCs w:val="24"/>
          <w:rtl/>
        </w:rPr>
        <w:t>המירווח</w:t>
      </w:r>
      <w:proofErr w:type="spellEnd"/>
      <w:r w:rsidR="00B87D9D">
        <w:rPr>
          <w:rFonts w:ascii="Palatino Linotype" w:hAnsi="Palatino Linotype" w:cs="David" w:hint="cs"/>
          <w:sz w:val="24"/>
          <w:szCs w:val="24"/>
          <w:rtl/>
        </w:rPr>
        <w:t xml:space="preserve"> של בנקים בתחרות בסביבה של ריבית נמוכה מושפע במידה הרבה ביותר. ירידה של נקודת אחוז אחת בריבית השוק תתבטא בירידה של כ-0.17 נקודת אחוז </w:t>
      </w:r>
      <w:proofErr w:type="spellStart"/>
      <w:r w:rsidR="00B87D9D">
        <w:rPr>
          <w:rFonts w:ascii="Palatino Linotype" w:hAnsi="Palatino Linotype" w:cs="David" w:hint="cs"/>
          <w:sz w:val="24"/>
          <w:szCs w:val="24"/>
          <w:rtl/>
        </w:rPr>
        <w:t>במירווח</w:t>
      </w:r>
      <w:proofErr w:type="spellEnd"/>
      <w:r w:rsidR="00B87D9D">
        <w:rPr>
          <w:rFonts w:ascii="Palatino Linotype" w:hAnsi="Palatino Linotype" w:cs="David" w:hint="cs"/>
          <w:sz w:val="24"/>
          <w:szCs w:val="24"/>
          <w:rtl/>
        </w:rPr>
        <w:t xml:space="preserve"> הריבית של בנקים אלו.</w:t>
      </w:r>
    </w:p>
    <w:p w:rsidR="00632924" w:rsidRDefault="00632924" w:rsidP="00632924">
      <w:pPr>
        <w:bidi/>
        <w:spacing w:line="360" w:lineRule="auto"/>
        <w:jc w:val="center"/>
        <w:rPr>
          <w:rFonts w:ascii="Palatino Linotype" w:hAnsi="Palatino Linotype" w:cs="David"/>
          <w:sz w:val="24"/>
          <w:szCs w:val="24"/>
          <w:u w:val="single"/>
          <w:rtl/>
        </w:rPr>
      </w:pPr>
      <w:r w:rsidRPr="00632924">
        <w:rPr>
          <w:rFonts w:ascii="Palatino Linotype" w:hAnsi="Palatino Linotype" w:cs="David" w:hint="cs"/>
          <w:sz w:val="24"/>
          <w:szCs w:val="24"/>
          <w:u w:val="single"/>
          <w:rtl/>
        </w:rPr>
        <w:t xml:space="preserve">לוח: ההשפעה של שינוי בריבית על </w:t>
      </w:r>
      <w:proofErr w:type="spellStart"/>
      <w:r w:rsidRPr="00632924">
        <w:rPr>
          <w:rFonts w:ascii="Palatino Linotype" w:hAnsi="Palatino Linotype" w:cs="David" w:hint="cs"/>
          <w:sz w:val="24"/>
          <w:szCs w:val="24"/>
          <w:u w:val="single"/>
          <w:rtl/>
        </w:rPr>
        <w:t>מירווחי</w:t>
      </w:r>
      <w:proofErr w:type="spellEnd"/>
      <w:r w:rsidRPr="00632924">
        <w:rPr>
          <w:rFonts w:ascii="Palatino Linotype" w:hAnsi="Palatino Linotype" w:cs="David" w:hint="cs"/>
          <w:sz w:val="24"/>
          <w:szCs w:val="24"/>
          <w:u w:val="single"/>
          <w:rtl/>
        </w:rPr>
        <w:t xml:space="preserve"> הבנקים במצבים שונים</w:t>
      </w:r>
    </w:p>
    <w:tbl>
      <w:tblPr>
        <w:tblStyle w:val="af"/>
        <w:bidiVisual/>
        <w:tblW w:w="0" w:type="auto"/>
        <w:tblLook w:val="04A0" w:firstRow="1" w:lastRow="0" w:firstColumn="1" w:lastColumn="0" w:noHBand="0" w:noVBand="1"/>
      </w:tblPr>
      <w:tblGrid>
        <w:gridCol w:w="2396"/>
        <w:gridCol w:w="3260"/>
        <w:gridCol w:w="2974"/>
      </w:tblGrid>
      <w:tr w:rsidR="00632924" w:rsidTr="00B87D9D">
        <w:tc>
          <w:tcPr>
            <w:tcW w:w="2396" w:type="dxa"/>
          </w:tcPr>
          <w:p w:rsidR="00632924" w:rsidRDefault="00632924" w:rsidP="00632924">
            <w:pPr>
              <w:bidi/>
              <w:spacing w:line="360" w:lineRule="auto"/>
              <w:jc w:val="center"/>
              <w:rPr>
                <w:rFonts w:ascii="Palatino Linotype" w:hAnsi="Palatino Linotype" w:cs="David"/>
                <w:sz w:val="24"/>
                <w:szCs w:val="24"/>
                <w:u w:val="single"/>
              </w:rPr>
            </w:pPr>
          </w:p>
        </w:tc>
        <w:tc>
          <w:tcPr>
            <w:tcW w:w="3260" w:type="dxa"/>
          </w:tcPr>
          <w:p w:rsidR="00632924" w:rsidRPr="00B87D9D" w:rsidRDefault="00B87D9D" w:rsidP="00632924">
            <w:pPr>
              <w:bidi/>
              <w:spacing w:line="360" w:lineRule="auto"/>
              <w:jc w:val="center"/>
              <w:rPr>
                <w:rFonts w:ascii="Palatino Linotype" w:hAnsi="Palatino Linotype" w:cs="David"/>
                <w:b/>
                <w:bCs/>
                <w:sz w:val="24"/>
                <w:szCs w:val="24"/>
                <w:rtl/>
              </w:rPr>
            </w:pPr>
            <w:r w:rsidRPr="00B87D9D">
              <w:rPr>
                <w:rFonts w:ascii="Palatino Linotype" w:hAnsi="Palatino Linotype" w:cs="David" w:hint="cs"/>
                <w:b/>
                <w:bCs/>
                <w:sz w:val="24"/>
                <w:szCs w:val="24"/>
                <w:rtl/>
              </w:rPr>
              <w:t>שוק ריכוזי</w:t>
            </w:r>
          </w:p>
        </w:tc>
        <w:tc>
          <w:tcPr>
            <w:tcW w:w="2974" w:type="dxa"/>
          </w:tcPr>
          <w:p w:rsidR="00632924" w:rsidRPr="00B87D9D" w:rsidRDefault="00B87D9D" w:rsidP="00632924">
            <w:pPr>
              <w:bidi/>
              <w:spacing w:line="360" w:lineRule="auto"/>
              <w:jc w:val="center"/>
              <w:rPr>
                <w:rFonts w:ascii="Palatino Linotype" w:hAnsi="Palatino Linotype" w:cs="David"/>
                <w:b/>
                <w:bCs/>
                <w:sz w:val="24"/>
                <w:szCs w:val="24"/>
                <w:rtl/>
              </w:rPr>
            </w:pPr>
            <w:r w:rsidRPr="00B87D9D">
              <w:rPr>
                <w:rFonts w:ascii="Palatino Linotype" w:hAnsi="Palatino Linotype" w:cs="David" w:hint="cs"/>
                <w:b/>
                <w:bCs/>
                <w:sz w:val="24"/>
                <w:szCs w:val="24"/>
                <w:rtl/>
              </w:rPr>
              <w:t>שוק תחרותי</w:t>
            </w:r>
          </w:p>
        </w:tc>
      </w:tr>
      <w:tr w:rsidR="00632924" w:rsidTr="00B87D9D">
        <w:tc>
          <w:tcPr>
            <w:tcW w:w="2396" w:type="dxa"/>
          </w:tcPr>
          <w:p w:rsidR="00632924" w:rsidRPr="00B87D9D" w:rsidRDefault="00B87D9D" w:rsidP="00632924">
            <w:pPr>
              <w:bidi/>
              <w:spacing w:line="360" w:lineRule="auto"/>
              <w:jc w:val="center"/>
              <w:rPr>
                <w:rFonts w:ascii="Palatino Linotype" w:hAnsi="Palatino Linotype" w:cs="David"/>
                <w:b/>
                <w:bCs/>
                <w:sz w:val="24"/>
                <w:szCs w:val="24"/>
                <w:rtl/>
              </w:rPr>
            </w:pPr>
            <w:r w:rsidRPr="00B87D9D">
              <w:rPr>
                <w:rFonts w:ascii="Palatino Linotype" w:hAnsi="Palatino Linotype" w:cs="David" w:hint="cs"/>
                <w:b/>
                <w:bCs/>
                <w:sz w:val="24"/>
                <w:szCs w:val="24"/>
                <w:rtl/>
              </w:rPr>
              <w:t>סביבת ריבית גבוהה</w:t>
            </w:r>
          </w:p>
        </w:tc>
        <w:tc>
          <w:tcPr>
            <w:tcW w:w="3260" w:type="dxa"/>
          </w:tcPr>
          <w:p w:rsidR="00632924" w:rsidRPr="00B87D9D" w:rsidRDefault="00B87D9D" w:rsidP="00632924">
            <w:pPr>
              <w:bidi/>
              <w:spacing w:line="360" w:lineRule="auto"/>
              <w:jc w:val="center"/>
              <w:rPr>
                <w:rFonts w:ascii="Palatino Linotype" w:hAnsi="Palatino Linotype" w:cs="David"/>
                <w:sz w:val="24"/>
                <w:szCs w:val="24"/>
                <w:rtl/>
              </w:rPr>
            </w:pPr>
            <w:r w:rsidRPr="00B87D9D">
              <w:rPr>
                <w:rFonts w:ascii="Palatino Linotype" w:hAnsi="Palatino Linotype" w:cs="David" w:hint="cs"/>
                <w:sz w:val="24"/>
                <w:szCs w:val="24"/>
                <w:rtl/>
              </w:rPr>
              <w:t>0.0</w:t>
            </w:r>
          </w:p>
        </w:tc>
        <w:tc>
          <w:tcPr>
            <w:tcW w:w="2974" w:type="dxa"/>
          </w:tcPr>
          <w:p w:rsidR="00632924" w:rsidRPr="00B87D9D" w:rsidRDefault="00B87D9D" w:rsidP="00632924">
            <w:pPr>
              <w:bidi/>
              <w:spacing w:line="360" w:lineRule="auto"/>
              <w:jc w:val="center"/>
              <w:rPr>
                <w:rFonts w:ascii="Palatino Linotype" w:hAnsi="Palatino Linotype" w:cs="David"/>
                <w:sz w:val="24"/>
                <w:szCs w:val="24"/>
                <w:rtl/>
              </w:rPr>
            </w:pPr>
            <w:r w:rsidRPr="00B87D9D">
              <w:rPr>
                <w:rFonts w:ascii="Palatino Linotype" w:hAnsi="Palatino Linotype" w:cs="David" w:hint="cs"/>
                <w:sz w:val="24"/>
                <w:szCs w:val="24"/>
                <w:rtl/>
              </w:rPr>
              <w:t>0.07</w:t>
            </w:r>
          </w:p>
        </w:tc>
      </w:tr>
      <w:tr w:rsidR="00632924" w:rsidTr="00B87D9D">
        <w:tc>
          <w:tcPr>
            <w:tcW w:w="2396" w:type="dxa"/>
          </w:tcPr>
          <w:p w:rsidR="00632924" w:rsidRPr="00B87D9D" w:rsidRDefault="00B87D9D" w:rsidP="00B87D9D">
            <w:pPr>
              <w:bidi/>
              <w:spacing w:line="360" w:lineRule="auto"/>
              <w:jc w:val="center"/>
              <w:rPr>
                <w:rFonts w:ascii="Palatino Linotype" w:hAnsi="Palatino Linotype" w:cs="David"/>
                <w:b/>
                <w:bCs/>
                <w:sz w:val="24"/>
                <w:szCs w:val="24"/>
                <w:rtl/>
              </w:rPr>
            </w:pPr>
            <w:r w:rsidRPr="00B87D9D">
              <w:rPr>
                <w:rFonts w:ascii="Palatino Linotype" w:hAnsi="Palatino Linotype" w:cs="David" w:hint="cs"/>
                <w:b/>
                <w:bCs/>
                <w:sz w:val="24"/>
                <w:szCs w:val="24"/>
                <w:rtl/>
              </w:rPr>
              <w:t>סביבת ריבית נמוכה</w:t>
            </w:r>
          </w:p>
        </w:tc>
        <w:tc>
          <w:tcPr>
            <w:tcW w:w="3260" w:type="dxa"/>
          </w:tcPr>
          <w:p w:rsidR="00632924" w:rsidRPr="00B87D9D" w:rsidRDefault="00B87D9D" w:rsidP="00632924">
            <w:pPr>
              <w:bidi/>
              <w:spacing w:line="360" w:lineRule="auto"/>
              <w:jc w:val="center"/>
              <w:rPr>
                <w:rFonts w:ascii="Palatino Linotype" w:hAnsi="Palatino Linotype" w:cs="David"/>
                <w:sz w:val="24"/>
                <w:szCs w:val="24"/>
                <w:rtl/>
              </w:rPr>
            </w:pPr>
            <w:r w:rsidRPr="00B87D9D">
              <w:rPr>
                <w:rFonts w:ascii="Palatino Linotype" w:hAnsi="Palatino Linotype" w:cs="David" w:hint="cs"/>
                <w:sz w:val="24"/>
                <w:szCs w:val="24"/>
                <w:rtl/>
              </w:rPr>
              <w:t>0.10</w:t>
            </w:r>
          </w:p>
        </w:tc>
        <w:tc>
          <w:tcPr>
            <w:tcW w:w="2974" w:type="dxa"/>
          </w:tcPr>
          <w:p w:rsidR="00632924" w:rsidRPr="00B87D9D" w:rsidRDefault="00B87D9D" w:rsidP="00632924">
            <w:pPr>
              <w:bidi/>
              <w:spacing w:line="360" w:lineRule="auto"/>
              <w:jc w:val="center"/>
              <w:rPr>
                <w:rFonts w:ascii="Palatino Linotype" w:hAnsi="Palatino Linotype" w:cs="David"/>
                <w:sz w:val="24"/>
                <w:szCs w:val="24"/>
                <w:rtl/>
              </w:rPr>
            </w:pPr>
            <w:r w:rsidRPr="00B87D9D">
              <w:rPr>
                <w:rFonts w:ascii="Palatino Linotype" w:hAnsi="Palatino Linotype" w:cs="David" w:hint="cs"/>
                <w:sz w:val="24"/>
                <w:szCs w:val="24"/>
                <w:rtl/>
              </w:rPr>
              <w:t>0.17</w:t>
            </w:r>
          </w:p>
        </w:tc>
      </w:tr>
    </w:tbl>
    <w:p w:rsidR="00632924" w:rsidRPr="00632924" w:rsidRDefault="00632924" w:rsidP="00632924">
      <w:pPr>
        <w:bidi/>
        <w:spacing w:line="360" w:lineRule="auto"/>
        <w:jc w:val="center"/>
        <w:rPr>
          <w:rFonts w:ascii="Palatino Linotype" w:hAnsi="Palatino Linotype" w:cs="David"/>
          <w:sz w:val="24"/>
          <w:szCs w:val="24"/>
          <w:u w:val="single"/>
          <w:rtl/>
        </w:rPr>
      </w:pPr>
    </w:p>
    <w:p w:rsidR="00FA40A1" w:rsidRPr="00B63E8B" w:rsidRDefault="00FA40A1" w:rsidP="00473AD5">
      <w:pPr>
        <w:bidi/>
        <w:spacing w:line="360" w:lineRule="auto"/>
        <w:jc w:val="both"/>
        <w:rPr>
          <w:color w:val="000000"/>
          <w:rtl/>
        </w:rPr>
      </w:pPr>
      <w:r>
        <w:rPr>
          <w:rFonts w:ascii="Palatino Linotype" w:hAnsi="Palatino Linotype" w:cs="David" w:hint="cs"/>
          <w:sz w:val="24"/>
          <w:szCs w:val="24"/>
          <w:rtl/>
        </w:rPr>
        <w:t xml:space="preserve">החוקרים בחנו גם את ההשפעה של ריביות נמוכות לאורך זמן ומצאו </w:t>
      </w:r>
      <w:r w:rsidR="00473AD5">
        <w:rPr>
          <w:rFonts w:ascii="Palatino Linotype" w:hAnsi="Palatino Linotype" w:cs="David" w:hint="cs"/>
          <w:sz w:val="24"/>
          <w:szCs w:val="24"/>
          <w:rtl/>
        </w:rPr>
        <w:t xml:space="preserve">שההשפעה של ריבית נמוכה על מרווחי הריבית תלויה במשך הזמן שבו היא נותרת, אולם על פי תוצאות המחקר, ההשפעה גדלה רק עד לנקודה </w:t>
      </w:r>
      <w:proofErr w:type="spellStart"/>
      <w:r w:rsidR="00473AD5">
        <w:rPr>
          <w:rFonts w:ascii="Palatino Linotype" w:hAnsi="Palatino Linotype" w:cs="David" w:hint="cs"/>
          <w:sz w:val="24"/>
          <w:szCs w:val="24"/>
          <w:rtl/>
        </w:rPr>
        <w:t>מסויימת</w:t>
      </w:r>
      <w:proofErr w:type="spellEnd"/>
      <w:r w:rsidR="00473AD5">
        <w:rPr>
          <w:rFonts w:ascii="Palatino Linotype" w:hAnsi="Palatino Linotype" w:cs="David" w:hint="cs"/>
          <w:sz w:val="24"/>
          <w:szCs w:val="24"/>
          <w:rtl/>
        </w:rPr>
        <w:t xml:space="preserve"> </w:t>
      </w:r>
      <w:r w:rsidR="00473AD5">
        <w:rPr>
          <w:rFonts w:ascii="Palatino Linotype" w:hAnsi="Palatino Linotype" w:cs="David"/>
          <w:sz w:val="24"/>
          <w:szCs w:val="24"/>
          <w:rtl/>
        </w:rPr>
        <w:t>–</w:t>
      </w:r>
      <w:r w:rsidR="00473AD5">
        <w:rPr>
          <w:rFonts w:ascii="Palatino Linotype" w:hAnsi="Palatino Linotype" w:cs="David" w:hint="cs"/>
          <w:sz w:val="24"/>
          <w:szCs w:val="24"/>
          <w:rtl/>
        </w:rPr>
        <w:t xml:space="preserve"> סביב ארבע שנים עד כ-6 שנים. יתכן שהסיבה לכך היא שלאחר זמן הבנקים לומדים להתאים את מבנה ההוצאות וההכנסות שלהם לסביבת הריבית הנמוכה, למשל על ידי צמצום חלקם של הפ</w:t>
      </w:r>
      <w:r w:rsidR="0094530D">
        <w:rPr>
          <w:rFonts w:ascii="Palatino Linotype" w:hAnsi="Palatino Linotype" w:cs="David" w:hint="cs"/>
          <w:sz w:val="24"/>
          <w:szCs w:val="24"/>
          <w:rtl/>
        </w:rPr>
        <w:t>י</w:t>
      </w:r>
      <w:r w:rsidR="00473AD5">
        <w:rPr>
          <w:rFonts w:ascii="Palatino Linotype" w:hAnsi="Palatino Linotype" w:cs="David" w:hint="cs"/>
          <w:sz w:val="24"/>
          <w:szCs w:val="24"/>
          <w:rtl/>
        </w:rPr>
        <w:t>קדונות במקורות המימון למתן אשראי. יחד עם זאת, על פי האמידה, בנקים במדינות עם מערכת בנקאות יותר תחרותית רגישים יותר למשך התקופה בה הריביות נמוכות, בעוד בנקים במדינות עם מערכת בנקאות ריכוזית יותר, כמעט שאינם מושפעים מתקופות ארוכות של ריבית נמוכה.</w:t>
      </w:r>
      <w:r w:rsidRPr="00B63E8B">
        <w:rPr>
          <w:color w:val="000000"/>
        </w:rPr>
        <w:t xml:space="preserve"> </w:t>
      </w:r>
    </w:p>
    <w:p w:rsidR="00FA40A1" w:rsidRPr="00732723" w:rsidRDefault="00FA40A1" w:rsidP="00FA40A1">
      <w:pPr>
        <w:autoSpaceDE w:val="0"/>
        <w:autoSpaceDN w:val="0"/>
        <w:adjustRightInd w:val="0"/>
        <w:spacing w:line="360" w:lineRule="auto"/>
        <w:jc w:val="both"/>
        <w:rPr>
          <w:color w:val="000000"/>
        </w:rPr>
      </w:pPr>
    </w:p>
    <w:p w:rsidR="00FA40A1" w:rsidRPr="00FA40A1" w:rsidRDefault="00FA40A1" w:rsidP="00FA40A1">
      <w:pPr>
        <w:bidi/>
        <w:spacing w:line="360" w:lineRule="auto"/>
        <w:jc w:val="both"/>
        <w:rPr>
          <w:rFonts w:ascii="Palatino Linotype" w:hAnsi="Palatino Linotype" w:cs="David"/>
          <w:sz w:val="24"/>
          <w:szCs w:val="24"/>
          <w:rtl/>
        </w:rPr>
      </w:pPr>
    </w:p>
    <w:p w:rsidR="00F30075" w:rsidRPr="007D3482" w:rsidRDefault="00F30075" w:rsidP="00F30075">
      <w:pPr>
        <w:bidi/>
        <w:spacing w:line="360" w:lineRule="auto"/>
        <w:jc w:val="both"/>
        <w:rPr>
          <w:rFonts w:cs="David"/>
          <w:sz w:val="24"/>
          <w:szCs w:val="24"/>
        </w:rPr>
      </w:pPr>
    </w:p>
    <w:sectPr w:rsidR="00F30075" w:rsidRPr="007D3482">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693" w:rsidRDefault="00701693" w:rsidP="0048550E">
      <w:pPr>
        <w:spacing w:after="0" w:line="240" w:lineRule="auto"/>
      </w:pPr>
      <w:r>
        <w:separator/>
      </w:r>
    </w:p>
  </w:endnote>
  <w:endnote w:type="continuationSeparator" w:id="0">
    <w:p w:rsidR="00701693" w:rsidRDefault="00701693" w:rsidP="0048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104226"/>
      <w:docPartObj>
        <w:docPartGallery w:val="Page Numbers (Bottom of Page)"/>
        <w:docPartUnique/>
      </w:docPartObj>
    </w:sdtPr>
    <w:sdtEndPr>
      <w:rPr>
        <w:noProof/>
      </w:rPr>
    </w:sdtEndPr>
    <w:sdtContent>
      <w:p w:rsidR="00361428" w:rsidRDefault="00361428">
        <w:pPr>
          <w:pStyle w:val="af2"/>
          <w:jc w:val="center"/>
        </w:pPr>
        <w:r>
          <w:fldChar w:fldCharType="begin"/>
        </w:r>
        <w:r>
          <w:instrText xml:space="preserve"> PAGE   \* MERGEFORMAT </w:instrText>
        </w:r>
        <w:r>
          <w:fldChar w:fldCharType="separate"/>
        </w:r>
        <w:r w:rsidR="00717910">
          <w:rPr>
            <w:noProof/>
          </w:rPr>
          <w:t>2</w:t>
        </w:r>
        <w:r>
          <w:rPr>
            <w:noProof/>
          </w:rPr>
          <w:fldChar w:fldCharType="end"/>
        </w:r>
      </w:p>
    </w:sdtContent>
  </w:sdt>
  <w:p w:rsidR="00361428" w:rsidRDefault="0036142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693" w:rsidRDefault="00701693" w:rsidP="0048550E">
      <w:pPr>
        <w:spacing w:after="0" w:line="240" w:lineRule="auto"/>
      </w:pPr>
      <w:r>
        <w:separator/>
      </w:r>
    </w:p>
  </w:footnote>
  <w:footnote w:type="continuationSeparator" w:id="0">
    <w:p w:rsidR="00701693" w:rsidRDefault="00701693" w:rsidP="00485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F664B"/>
    <w:multiLevelType w:val="hybridMultilevel"/>
    <w:tmpl w:val="2EE8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F8"/>
    <w:rsid w:val="00007B7C"/>
    <w:rsid w:val="0001735F"/>
    <w:rsid w:val="00064AC2"/>
    <w:rsid w:val="00106ADB"/>
    <w:rsid w:val="00122F86"/>
    <w:rsid w:val="00162E20"/>
    <w:rsid w:val="00170F4A"/>
    <w:rsid w:val="001716DC"/>
    <w:rsid w:val="001F333B"/>
    <w:rsid w:val="002022E6"/>
    <w:rsid w:val="00237F74"/>
    <w:rsid w:val="00245EE3"/>
    <w:rsid w:val="002A4C4D"/>
    <w:rsid w:val="002B31CB"/>
    <w:rsid w:val="002D73DA"/>
    <w:rsid w:val="00343AB8"/>
    <w:rsid w:val="00361428"/>
    <w:rsid w:val="00371D3E"/>
    <w:rsid w:val="003935A8"/>
    <w:rsid w:val="00394621"/>
    <w:rsid w:val="003A47FE"/>
    <w:rsid w:val="003F2591"/>
    <w:rsid w:val="00406964"/>
    <w:rsid w:val="00411CFA"/>
    <w:rsid w:val="004601C5"/>
    <w:rsid w:val="00473AD5"/>
    <w:rsid w:val="0048550E"/>
    <w:rsid w:val="00497EB8"/>
    <w:rsid w:val="0053659D"/>
    <w:rsid w:val="00542098"/>
    <w:rsid w:val="00551478"/>
    <w:rsid w:val="00555B23"/>
    <w:rsid w:val="005A6147"/>
    <w:rsid w:val="00601D6F"/>
    <w:rsid w:val="00617D1A"/>
    <w:rsid w:val="00632924"/>
    <w:rsid w:val="00647897"/>
    <w:rsid w:val="006B3EA8"/>
    <w:rsid w:val="006C7067"/>
    <w:rsid w:val="006F2580"/>
    <w:rsid w:val="00701693"/>
    <w:rsid w:val="00717910"/>
    <w:rsid w:val="007348DA"/>
    <w:rsid w:val="0073701D"/>
    <w:rsid w:val="00770429"/>
    <w:rsid w:val="007D3482"/>
    <w:rsid w:val="007D4731"/>
    <w:rsid w:val="007E0788"/>
    <w:rsid w:val="007E22FF"/>
    <w:rsid w:val="00800331"/>
    <w:rsid w:val="0080573C"/>
    <w:rsid w:val="00811799"/>
    <w:rsid w:val="0081766E"/>
    <w:rsid w:val="00840578"/>
    <w:rsid w:val="00851099"/>
    <w:rsid w:val="00873471"/>
    <w:rsid w:val="00881730"/>
    <w:rsid w:val="008A1495"/>
    <w:rsid w:val="008A26BC"/>
    <w:rsid w:val="008B311B"/>
    <w:rsid w:val="008C2CC3"/>
    <w:rsid w:val="008C6562"/>
    <w:rsid w:val="008E050C"/>
    <w:rsid w:val="008E3AC4"/>
    <w:rsid w:val="008F1DE1"/>
    <w:rsid w:val="0094530D"/>
    <w:rsid w:val="00954053"/>
    <w:rsid w:val="009B367D"/>
    <w:rsid w:val="009D22DC"/>
    <w:rsid w:val="009D385E"/>
    <w:rsid w:val="009E70CC"/>
    <w:rsid w:val="00A131F8"/>
    <w:rsid w:val="00A14D8E"/>
    <w:rsid w:val="00AB4765"/>
    <w:rsid w:val="00B345B4"/>
    <w:rsid w:val="00B52934"/>
    <w:rsid w:val="00B61615"/>
    <w:rsid w:val="00B87D9D"/>
    <w:rsid w:val="00BD00B4"/>
    <w:rsid w:val="00C02E7A"/>
    <w:rsid w:val="00C06FB1"/>
    <w:rsid w:val="00C1010A"/>
    <w:rsid w:val="00C228A3"/>
    <w:rsid w:val="00C3612D"/>
    <w:rsid w:val="00C601B4"/>
    <w:rsid w:val="00CB0353"/>
    <w:rsid w:val="00CC03E7"/>
    <w:rsid w:val="00D70298"/>
    <w:rsid w:val="00D7554A"/>
    <w:rsid w:val="00D841C2"/>
    <w:rsid w:val="00D86C7C"/>
    <w:rsid w:val="00DE4124"/>
    <w:rsid w:val="00EA4F2E"/>
    <w:rsid w:val="00F1266D"/>
    <w:rsid w:val="00F30075"/>
    <w:rsid w:val="00F95AB0"/>
    <w:rsid w:val="00FA40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91D7"/>
  <w15:docId w15:val="{CE32045F-D706-4FCE-8700-75BA70D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2FF"/>
    <w:pPr>
      <w:ind w:left="720"/>
      <w:contextualSpacing/>
    </w:pPr>
  </w:style>
  <w:style w:type="paragraph" w:styleId="a4">
    <w:name w:val="Balloon Text"/>
    <w:basedOn w:val="a"/>
    <w:link w:val="a5"/>
    <w:uiPriority w:val="99"/>
    <w:semiHidden/>
    <w:unhideWhenUsed/>
    <w:rsid w:val="0040696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06964"/>
    <w:rPr>
      <w:rFonts w:ascii="Tahoma" w:hAnsi="Tahoma" w:cs="Tahoma"/>
      <w:sz w:val="16"/>
      <w:szCs w:val="16"/>
    </w:rPr>
  </w:style>
  <w:style w:type="character" w:styleId="a6">
    <w:name w:val="annotation reference"/>
    <w:basedOn w:val="a0"/>
    <w:uiPriority w:val="99"/>
    <w:semiHidden/>
    <w:unhideWhenUsed/>
    <w:rsid w:val="00064AC2"/>
    <w:rPr>
      <w:sz w:val="16"/>
      <w:szCs w:val="16"/>
    </w:rPr>
  </w:style>
  <w:style w:type="paragraph" w:styleId="a7">
    <w:name w:val="annotation text"/>
    <w:basedOn w:val="a"/>
    <w:link w:val="a8"/>
    <w:uiPriority w:val="99"/>
    <w:semiHidden/>
    <w:unhideWhenUsed/>
    <w:rsid w:val="00064AC2"/>
    <w:pPr>
      <w:spacing w:line="240" w:lineRule="auto"/>
    </w:pPr>
    <w:rPr>
      <w:sz w:val="20"/>
      <w:szCs w:val="20"/>
    </w:rPr>
  </w:style>
  <w:style w:type="character" w:customStyle="1" w:styleId="a8">
    <w:name w:val="טקסט הערה תו"/>
    <w:basedOn w:val="a0"/>
    <w:link w:val="a7"/>
    <w:uiPriority w:val="99"/>
    <w:semiHidden/>
    <w:rsid w:val="00064AC2"/>
    <w:rPr>
      <w:sz w:val="20"/>
      <w:szCs w:val="20"/>
    </w:rPr>
  </w:style>
  <w:style w:type="paragraph" w:styleId="a9">
    <w:name w:val="annotation subject"/>
    <w:basedOn w:val="a7"/>
    <w:next w:val="a7"/>
    <w:link w:val="aa"/>
    <w:uiPriority w:val="99"/>
    <w:semiHidden/>
    <w:unhideWhenUsed/>
    <w:rsid w:val="00064AC2"/>
    <w:rPr>
      <w:b/>
      <w:bCs/>
    </w:rPr>
  </w:style>
  <w:style w:type="character" w:customStyle="1" w:styleId="aa">
    <w:name w:val="נושא הערה תו"/>
    <w:basedOn w:val="a8"/>
    <w:link w:val="a9"/>
    <w:uiPriority w:val="99"/>
    <w:semiHidden/>
    <w:rsid w:val="00064AC2"/>
    <w:rPr>
      <w:b/>
      <w:bCs/>
      <w:sz w:val="20"/>
      <w:szCs w:val="20"/>
    </w:rPr>
  </w:style>
  <w:style w:type="paragraph" w:styleId="ab">
    <w:name w:val="Revision"/>
    <w:hidden/>
    <w:uiPriority w:val="99"/>
    <w:semiHidden/>
    <w:rsid w:val="00064AC2"/>
    <w:pPr>
      <w:spacing w:after="0" w:line="240" w:lineRule="auto"/>
    </w:pPr>
  </w:style>
  <w:style w:type="paragraph" w:styleId="ac">
    <w:name w:val="footnote text"/>
    <w:basedOn w:val="a"/>
    <w:link w:val="ad"/>
    <w:uiPriority w:val="99"/>
    <w:semiHidden/>
    <w:unhideWhenUsed/>
    <w:rsid w:val="0048550E"/>
    <w:pPr>
      <w:spacing w:after="0" w:line="240" w:lineRule="auto"/>
    </w:pPr>
    <w:rPr>
      <w:sz w:val="20"/>
      <w:szCs w:val="20"/>
    </w:rPr>
  </w:style>
  <w:style w:type="character" w:customStyle="1" w:styleId="ad">
    <w:name w:val="טקסט הערת שוליים תו"/>
    <w:basedOn w:val="a0"/>
    <w:link w:val="ac"/>
    <w:uiPriority w:val="99"/>
    <w:semiHidden/>
    <w:rsid w:val="0048550E"/>
    <w:rPr>
      <w:sz w:val="20"/>
      <w:szCs w:val="20"/>
    </w:rPr>
  </w:style>
  <w:style w:type="character" w:styleId="ae">
    <w:name w:val="footnote reference"/>
    <w:basedOn w:val="a0"/>
    <w:uiPriority w:val="99"/>
    <w:semiHidden/>
    <w:unhideWhenUsed/>
    <w:rsid w:val="0048550E"/>
    <w:rPr>
      <w:vertAlign w:val="superscript"/>
    </w:rPr>
  </w:style>
  <w:style w:type="table" w:styleId="af">
    <w:name w:val="Table Grid"/>
    <w:basedOn w:val="a1"/>
    <w:uiPriority w:val="59"/>
    <w:rsid w:val="00632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61428"/>
    <w:pPr>
      <w:tabs>
        <w:tab w:val="center" w:pos="4320"/>
        <w:tab w:val="right" w:pos="8640"/>
      </w:tabs>
      <w:spacing w:after="0" w:line="240" w:lineRule="auto"/>
    </w:pPr>
  </w:style>
  <w:style w:type="character" w:customStyle="1" w:styleId="af1">
    <w:name w:val="כותרת עליונה תו"/>
    <w:basedOn w:val="a0"/>
    <w:link w:val="af0"/>
    <w:uiPriority w:val="99"/>
    <w:rsid w:val="00361428"/>
  </w:style>
  <w:style w:type="paragraph" w:styleId="af2">
    <w:name w:val="footer"/>
    <w:basedOn w:val="a"/>
    <w:link w:val="af3"/>
    <w:uiPriority w:val="99"/>
    <w:unhideWhenUsed/>
    <w:rsid w:val="00361428"/>
    <w:pPr>
      <w:tabs>
        <w:tab w:val="center" w:pos="4320"/>
        <w:tab w:val="right" w:pos="8640"/>
      </w:tabs>
      <w:spacing w:after="0" w:line="240" w:lineRule="auto"/>
    </w:pPr>
  </w:style>
  <w:style w:type="character" w:customStyle="1" w:styleId="af3">
    <w:name w:val="כותרת תחתונה תו"/>
    <w:basedOn w:val="a0"/>
    <w:link w:val="af2"/>
    <w:uiPriority w:val="99"/>
    <w:rsid w:val="00361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54E7A-1489-4124-BFFF-1E23FA6D0F7E}"/>
</file>

<file path=customXml/itemProps2.xml><?xml version="1.0" encoding="utf-8"?>
<ds:datastoreItem xmlns:ds="http://schemas.openxmlformats.org/officeDocument/2006/customXml" ds:itemID="{7DBD1E4F-CDBA-4E13-BBFB-3A8BC424B1DC}"/>
</file>

<file path=customXml/itemProps3.xml><?xml version="1.0" encoding="utf-8"?>
<ds:datastoreItem xmlns:ds="http://schemas.openxmlformats.org/officeDocument/2006/customXml" ds:itemID="{16A4A5DD-F6F5-4D85-BC48-FDA2012351F6}"/>
</file>

<file path=customXml/itemProps4.xml><?xml version="1.0" encoding="utf-8"?>
<ds:datastoreItem xmlns:ds="http://schemas.openxmlformats.org/officeDocument/2006/customXml" ds:itemID="{41B1709A-7C65-4483-B2E6-F4195DA3FED0}"/>
</file>

<file path=docProps/app.xml><?xml version="1.0" encoding="utf-8"?>
<Properties xmlns="http://schemas.openxmlformats.org/officeDocument/2006/extended-properties" xmlns:vt="http://schemas.openxmlformats.org/officeDocument/2006/docPropsVTypes">
  <Template>Normal</Template>
  <TotalTime>11</TotalTime>
  <Pages>3</Pages>
  <Words>805</Words>
  <Characters>4025</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dovrot</cp:lastModifiedBy>
  <cp:revision>4</cp:revision>
  <dcterms:created xsi:type="dcterms:W3CDTF">2021-10-25T08:49:00Z</dcterms:created>
  <dcterms:modified xsi:type="dcterms:W3CDTF">2021-10-25T09:09:00Z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