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84AE" w14:textId="77777777" w:rsidR="009A2227" w:rsidRPr="005759A8" w:rsidRDefault="009A2227">
      <w:pPr>
        <w:rPr>
          <w:rFonts w:ascii="David" w:hAnsi="David" w:cs="David"/>
        </w:rPr>
      </w:pPr>
    </w:p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5759A8" w:rsidRPr="00DB1CBC" w14:paraId="7389549F" w14:textId="77777777" w:rsidTr="004E47AC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5A10" w14:textId="77777777" w:rsidR="005759A8" w:rsidRPr="00520BB4" w:rsidRDefault="005759A8" w:rsidP="004E47AC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4688D268" w14:textId="77777777" w:rsidR="005759A8" w:rsidRDefault="005759A8" w:rsidP="004E47AC">
            <w:pPr>
              <w:spacing w:line="360" w:lineRule="auto"/>
              <w:ind w:right="-101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09FCBB46" w14:textId="77777777" w:rsidR="005759A8" w:rsidRDefault="005759A8" w:rsidP="004E47A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2CC54D5" wp14:editId="53DF48D8">
                  <wp:extent cx="914400" cy="914400"/>
                  <wp:effectExtent l="0" t="0" r="0" b="0"/>
                  <wp:docPr id="2" name="תמונה 2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1797" w14:textId="77777777" w:rsidR="005759A8" w:rsidRPr="00B20A2F" w:rsidRDefault="005759A8" w:rsidP="004E47A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‏י"ח שבט תשפ"ב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14:paraId="54FAC74F" w14:textId="77777777" w:rsidR="005759A8" w:rsidRDefault="005759A8" w:rsidP="004E47AC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‏20 ינואר 2022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14:paraId="33BCF82B" w14:textId="77777777" w:rsidR="005759A8" w:rsidRPr="00DF107C" w:rsidRDefault="005759A8" w:rsidP="004E47A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14:paraId="07311D35" w14:textId="003B96F2" w:rsidR="005759A8" w:rsidRPr="005759A8" w:rsidRDefault="005759A8" w:rsidP="005759A8">
      <w:pPr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הודעה לעיתונות:</w:t>
      </w:r>
    </w:p>
    <w:p w14:paraId="1F7EB99A" w14:textId="785A15D5" w:rsidR="00162DF5" w:rsidRPr="005759A8" w:rsidRDefault="008234F9" w:rsidP="005759A8">
      <w:pPr>
        <w:pStyle w:val="a3"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5759A8">
        <w:rPr>
          <w:rFonts w:ascii="David" w:hAnsi="David" w:cs="David"/>
          <w:b/>
          <w:bCs/>
          <w:sz w:val="28"/>
          <w:szCs w:val="28"/>
          <w:rtl/>
        </w:rPr>
        <w:t>דברי מנהל חטיבת המחקר</w:t>
      </w:r>
      <w:r w:rsidR="008F46ED" w:rsidRPr="005759A8">
        <w:rPr>
          <w:rFonts w:ascii="David" w:hAnsi="David" w:cs="David"/>
          <w:b/>
          <w:bCs/>
          <w:sz w:val="28"/>
          <w:szCs w:val="28"/>
          <w:rtl/>
        </w:rPr>
        <w:t>,</w:t>
      </w:r>
      <w:r w:rsidRPr="005759A8">
        <w:rPr>
          <w:rFonts w:ascii="David" w:hAnsi="David" w:cs="David"/>
          <w:b/>
          <w:bCs/>
          <w:sz w:val="28"/>
          <w:szCs w:val="28"/>
          <w:rtl/>
        </w:rPr>
        <w:t xml:space="preserve"> פרופ' מישל סטרבצ'ינסקי בכנס התעשיינים</w:t>
      </w:r>
    </w:p>
    <w:p w14:paraId="66CF1E7A" w14:textId="472632FC" w:rsidR="00162DF5" w:rsidRPr="005759A8" w:rsidRDefault="008234F9" w:rsidP="00162DF5">
      <w:pPr>
        <w:pStyle w:val="a3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2E2DE9F" w14:textId="68A48CC9" w:rsidR="008234F9" w:rsidRPr="005759A8" w:rsidRDefault="008F46ED" w:rsidP="004419F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גל 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>האומיקרון מגדיל את כמות הבידודים</w:t>
      </w:r>
      <w:r w:rsidR="006A6BAD" w:rsidRPr="005759A8">
        <w:rPr>
          <w:rFonts w:ascii="David" w:hAnsi="David" w:cs="David"/>
          <w:b/>
          <w:bCs/>
          <w:sz w:val="24"/>
          <w:szCs w:val="24"/>
          <w:rtl/>
        </w:rPr>
        <w:t xml:space="preserve"> תוך גביית מחיר כלכלי בענפי הקרבה בחודשים דצמבר וינואר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.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 xml:space="preserve">עם זאת, 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 xml:space="preserve">מבחינת 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נקודת המוצא בה המשק הישראלי נמצא, שיעורי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 xml:space="preserve"> ההתחסנות הגבוה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ים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>של האוכלוסייה ש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 xml:space="preserve">בסיכון 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>מאפשר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ים</w:t>
      </w:r>
      <w:r w:rsidR="008234F9" w:rsidRPr="005759A8">
        <w:rPr>
          <w:rFonts w:ascii="David" w:hAnsi="David" w:cs="David"/>
          <w:b/>
          <w:bCs/>
          <w:sz w:val="24"/>
          <w:szCs w:val="24"/>
          <w:rtl/>
        </w:rPr>
        <w:t xml:space="preserve"> הת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>מודד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ות טובה יותר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 xml:space="preserve"> עם 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>ה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 xml:space="preserve">גל 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>החמישי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.</w:t>
      </w:r>
      <w:bookmarkStart w:id="0" w:name="_GoBack"/>
      <w:bookmarkEnd w:id="0"/>
    </w:p>
    <w:p w14:paraId="14835DCB" w14:textId="77777777" w:rsidR="008234F9" w:rsidRPr="005759A8" w:rsidRDefault="008234F9" w:rsidP="008F46ED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>תחזית חטיבת המחקר מניחה שלא יהיו סגרים בטווח הנראה לעין, ושהמשק יצמח השנה ב-5.5 אחוזים</w:t>
      </w:r>
      <w:r w:rsidR="006A6BAD" w:rsidRPr="005759A8">
        <w:rPr>
          <w:rFonts w:ascii="David" w:hAnsi="David" w:cs="David"/>
          <w:b/>
          <w:bCs/>
          <w:sz w:val="24"/>
          <w:szCs w:val="24"/>
          <w:rtl/>
        </w:rPr>
        <w:t xml:space="preserve"> תוך התאוששות נוספת ב-2023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0EB1FB08" w14:textId="4F8BD96B" w:rsidR="008234F9" w:rsidRPr="005759A8" w:rsidRDefault="008234F9" w:rsidP="004419F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הנתונים 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 xml:space="preserve">האחרונים שהתפרסמו מעידים על כך 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 xml:space="preserve">שבחודשים 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>ספטמבר ואוקטובר 2021 הי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יתה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 עלייה בפעילות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 xml:space="preserve"> הכלכלית</w:t>
      </w:r>
      <w:r w:rsidR="00FC5475" w:rsidRPr="005759A8">
        <w:rPr>
          <w:rFonts w:ascii="David" w:hAnsi="David" w:cs="David"/>
          <w:b/>
          <w:bCs/>
          <w:sz w:val="24"/>
          <w:szCs w:val="24"/>
          <w:rtl/>
        </w:rPr>
        <w:t>.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 xml:space="preserve">עם התפשטות נגיף האומיקרון 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>בדצ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>מבר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,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 xml:space="preserve"> חלה התמתנות בהרחבת הפעילות</w:t>
      </w:r>
      <w:r w:rsidR="004419FF" w:rsidRPr="005759A8">
        <w:rPr>
          <w:rFonts w:ascii="David" w:hAnsi="David" w:cs="David"/>
          <w:b/>
          <w:bCs/>
          <w:sz w:val="24"/>
          <w:szCs w:val="24"/>
          <w:rtl/>
        </w:rPr>
        <w:t>, אך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 xml:space="preserve"> ללא השפעה </w:t>
      </w:r>
      <w:r w:rsidR="006A6BAD" w:rsidRPr="005759A8">
        <w:rPr>
          <w:rFonts w:ascii="David" w:hAnsi="David" w:cs="David"/>
          <w:b/>
          <w:bCs/>
          <w:sz w:val="24"/>
          <w:szCs w:val="24"/>
          <w:rtl/>
        </w:rPr>
        <w:t>משמעותי</w:t>
      </w:r>
      <w:r w:rsidR="00070CBB" w:rsidRPr="005759A8">
        <w:rPr>
          <w:rFonts w:ascii="David" w:hAnsi="David" w:cs="David"/>
          <w:b/>
          <w:bCs/>
          <w:sz w:val="24"/>
          <w:szCs w:val="24"/>
          <w:rtl/>
        </w:rPr>
        <w:t>ת</w:t>
      </w:r>
      <w:r w:rsidR="006A6BAD" w:rsidRPr="005759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>במדד</w:t>
      </w:r>
      <w:r w:rsidR="006A6BAD" w:rsidRPr="005759A8">
        <w:rPr>
          <w:rFonts w:ascii="David" w:hAnsi="David" w:cs="David"/>
          <w:b/>
          <w:bCs/>
          <w:sz w:val="24"/>
          <w:szCs w:val="24"/>
          <w:rtl/>
        </w:rPr>
        <w:t>י</w:t>
      </w:r>
      <w:r w:rsidRPr="005759A8">
        <w:rPr>
          <w:rFonts w:ascii="David" w:hAnsi="David" w:cs="David"/>
          <w:b/>
          <w:bCs/>
          <w:sz w:val="24"/>
          <w:szCs w:val="24"/>
          <w:rtl/>
        </w:rPr>
        <w:t xml:space="preserve"> אמון הצרכנים.</w:t>
      </w:r>
      <w:r w:rsidR="00FC5475" w:rsidRPr="005759A8">
        <w:rPr>
          <w:rFonts w:ascii="David" w:hAnsi="David" w:cs="David"/>
          <w:b/>
          <w:bCs/>
          <w:sz w:val="24"/>
          <w:szCs w:val="24"/>
          <w:rtl/>
        </w:rPr>
        <w:t xml:space="preserve"> בחודש ינואר ניכרת 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>ירידה</w:t>
      </w:r>
      <w:r w:rsidR="00FC5475" w:rsidRPr="005759A8">
        <w:rPr>
          <w:rFonts w:ascii="David" w:hAnsi="David" w:cs="David"/>
          <w:b/>
          <w:bCs/>
          <w:sz w:val="24"/>
          <w:szCs w:val="24"/>
          <w:rtl/>
        </w:rPr>
        <w:t xml:space="preserve"> ב</w:t>
      </w:r>
      <w:r w:rsidR="003B7EEB" w:rsidRPr="005759A8">
        <w:rPr>
          <w:rFonts w:ascii="David" w:hAnsi="David" w:cs="David"/>
          <w:b/>
          <w:bCs/>
          <w:sz w:val="24"/>
          <w:szCs w:val="24"/>
          <w:rtl/>
        </w:rPr>
        <w:t>הוצאות בכרטיסי אשראי של ה</w:t>
      </w:r>
      <w:r w:rsidR="00FC5475" w:rsidRPr="005759A8">
        <w:rPr>
          <w:rFonts w:ascii="David" w:hAnsi="David" w:cs="David"/>
          <w:b/>
          <w:bCs/>
          <w:sz w:val="24"/>
          <w:szCs w:val="24"/>
          <w:rtl/>
        </w:rPr>
        <w:t>תיירות הנכנסת.</w:t>
      </w:r>
    </w:p>
    <w:p w14:paraId="3686C92F" w14:textId="77777777" w:rsidR="008234F9" w:rsidRPr="005759A8" w:rsidRDefault="008234F9" w:rsidP="008234F9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FC91634" w14:textId="6D93E290" w:rsidR="00484D04" w:rsidRPr="005759A8" w:rsidRDefault="008234F9" w:rsidP="00484D04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t xml:space="preserve">פרופ' מישל סטרבצ'ינסקי </w:t>
      </w:r>
      <w:r w:rsidR="008F46ED" w:rsidRPr="005759A8">
        <w:rPr>
          <w:rFonts w:ascii="David" w:hAnsi="David" w:cs="David"/>
          <w:sz w:val="24"/>
          <w:szCs w:val="24"/>
          <w:rtl/>
        </w:rPr>
        <w:t xml:space="preserve">נשא </w:t>
      </w:r>
      <w:r w:rsidR="00484D04" w:rsidRPr="005759A8">
        <w:rPr>
          <w:rFonts w:ascii="David" w:hAnsi="David" w:cs="David"/>
          <w:sz w:val="24"/>
          <w:szCs w:val="24"/>
          <w:rtl/>
        </w:rPr>
        <w:t xml:space="preserve">היום </w:t>
      </w:r>
      <w:r w:rsidR="008F46ED" w:rsidRPr="005759A8">
        <w:rPr>
          <w:rFonts w:ascii="David" w:hAnsi="David" w:cs="David"/>
          <w:sz w:val="24"/>
          <w:szCs w:val="24"/>
          <w:rtl/>
        </w:rPr>
        <w:t xml:space="preserve">דברים </w:t>
      </w:r>
      <w:r w:rsidR="00484D04" w:rsidRPr="005759A8">
        <w:rPr>
          <w:rFonts w:ascii="David" w:hAnsi="David" w:cs="David"/>
          <w:sz w:val="24"/>
          <w:szCs w:val="24"/>
          <w:rtl/>
        </w:rPr>
        <w:t>בוועידת אילת לתעשייה והייטק שנערכת על ידי התאחדות התעשיינים</w:t>
      </w:r>
      <w:r w:rsidR="008F46ED" w:rsidRPr="005759A8">
        <w:rPr>
          <w:rFonts w:ascii="David" w:hAnsi="David" w:cs="David"/>
          <w:sz w:val="24"/>
          <w:szCs w:val="24"/>
          <w:rtl/>
        </w:rPr>
        <w:t>.</w:t>
      </w:r>
    </w:p>
    <w:p w14:paraId="2F54FDDA" w14:textId="66D9A3CF" w:rsidR="008234F9" w:rsidRPr="005759A8" w:rsidRDefault="0082735A" w:rsidP="004419FF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t xml:space="preserve">פרופ' סטרבצ'ינסקי 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התייחס למצב המשק ועדכן על הנתונים </w:t>
      </w:r>
      <w:r w:rsidRPr="005759A8">
        <w:rPr>
          <w:rFonts w:ascii="David" w:hAnsi="David" w:cs="David"/>
          <w:sz w:val="24"/>
          <w:szCs w:val="24"/>
          <w:rtl/>
        </w:rPr>
        <w:t xml:space="preserve">הכלכליים </w:t>
      </w:r>
      <w:r w:rsidR="008234F9" w:rsidRPr="005759A8">
        <w:rPr>
          <w:rFonts w:ascii="David" w:hAnsi="David" w:cs="David"/>
          <w:sz w:val="24"/>
          <w:szCs w:val="24"/>
          <w:rtl/>
        </w:rPr>
        <w:t>הא</w:t>
      </w:r>
      <w:r w:rsidR="00B111D3" w:rsidRPr="005759A8">
        <w:rPr>
          <w:rFonts w:ascii="David" w:hAnsi="David" w:cs="David"/>
          <w:sz w:val="24"/>
          <w:szCs w:val="24"/>
          <w:rtl/>
        </w:rPr>
        <w:t>חרונים שהתפרסמו, לפיהם חלה התמתנות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 בפעילות בדצמבר</w:t>
      </w:r>
      <w:r w:rsidR="00E31FAA" w:rsidRPr="005759A8">
        <w:rPr>
          <w:rFonts w:ascii="David" w:hAnsi="David" w:cs="David"/>
          <w:sz w:val="24"/>
          <w:szCs w:val="24"/>
          <w:rtl/>
        </w:rPr>
        <w:t xml:space="preserve"> (איור 1 – המבוסס על סקר המגמות של הלמ"ס)</w:t>
      </w:r>
      <w:r w:rsidR="008234F9" w:rsidRPr="005759A8">
        <w:rPr>
          <w:rFonts w:ascii="David" w:hAnsi="David" w:cs="David"/>
          <w:sz w:val="24"/>
          <w:szCs w:val="24"/>
          <w:rtl/>
        </w:rPr>
        <w:t>, אך מבלי שהדבר השתקף באופן משמעותי במדד</w:t>
      </w:r>
      <w:r w:rsidR="00B111D3" w:rsidRPr="005759A8">
        <w:rPr>
          <w:rFonts w:ascii="David" w:hAnsi="David" w:cs="David"/>
          <w:sz w:val="24"/>
          <w:szCs w:val="24"/>
          <w:rtl/>
        </w:rPr>
        <w:t>י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 אמון הצרכנים. על פי אינדיקטורים ראשונים המבוססים ע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ל </w:t>
      </w:r>
      <w:r w:rsidR="004419FF" w:rsidRPr="005759A8">
        <w:rPr>
          <w:rFonts w:ascii="David" w:hAnsi="David" w:cs="David"/>
          <w:sz w:val="24"/>
          <w:szCs w:val="24"/>
          <w:rtl/>
        </w:rPr>
        <w:t>ההוצאות ב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כרטיסי אשראי, נראה כי </w:t>
      </w:r>
      <w:r w:rsidRPr="005759A8">
        <w:rPr>
          <w:rFonts w:ascii="David" w:hAnsi="David" w:cs="David"/>
          <w:sz w:val="24"/>
          <w:szCs w:val="24"/>
          <w:rtl/>
        </w:rPr>
        <w:t xml:space="preserve">התפשטות זן </w:t>
      </w:r>
      <w:r w:rsidR="00B111D3" w:rsidRPr="005759A8">
        <w:rPr>
          <w:rFonts w:ascii="David" w:hAnsi="David" w:cs="David"/>
          <w:sz w:val="24"/>
          <w:szCs w:val="24"/>
          <w:rtl/>
        </w:rPr>
        <w:t>האומיקרון הביא</w:t>
      </w:r>
      <w:r w:rsidRPr="005759A8">
        <w:rPr>
          <w:rFonts w:ascii="David" w:hAnsi="David" w:cs="David"/>
          <w:sz w:val="24"/>
          <w:szCs w:val="24"/>
          <w:rtl/>
        </w:rPr>
        <w:t>ה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 לנ</w:t>
      </w:r>
      <w:r w:rsidR="003B7EEB" w:rsidRPr="005759A8">
        <w:rPr>
          <w:rFonts w:ascii="David" w:hAnsi="David" w:cs="David"/>
          <w:sz w:val="24"/>
          <w:szCs w:val="24"/>
          <w:rtl/>
        </w:rPr>
        <w:t>סיגה בענפי הקרבה (במיוחד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 </w:t>
      </w:r>
      <w:r w:rsidR="003B7EEB" w:rsidRPr="005759A8">
        <w:rPr>
          <w:rFonts w:ascii="David" w:hAnsi="David" w:cs="David"/>
          <w:sz w:val="24"/>
          <w:szCs w:val="24"/>
          <w:rtl/>
        </w:rPr>
        <w:t>ב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תיירות </w:t>
      </w:r>
      <w:r w:rsidR="003B7EEB" w:rsidRPr="005759A8">
        <w:rPr>
          <w:rFonts w:ascii="David" w:hAnsi="David" w:cs="David"/>
          <w:sz w:val="24"/>
          <w:szCs w:val="24"/>
          <w:rtl/>
        </w:rPr>
        <w:t>ה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נכנסת) 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בינואר </w:t>
      </w:r>
      <w:r w:rsidR="00FC5475" w:rsidRPr="005759A8">
        <w:rPr>
          <w:rFonts w:ascii="David" w:hAnsi="David" w:cs="David"/>
          <w:sz w:val="24"/>
          <w:szCs w:val="24"/>
          <w:rtl/>
        </w:rPr>
        <w:t xml:space="preserve">(איור 2) </w:t>
      </w:r>
      <w:r w:rsidR="008234F9" w:rsidRPr="005759A8">
        <w:rPr>
          <w:rFonts w:ascii="David" w:hAnsi="David" w:cs="David"/>
          <w:sz w:val="24"/>
          <w:szCs w:val="24"/>
          <w:rtl/>
        </w:rPr>
        <w:t>– אך בדומה ל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גלים הקודמים </w:t>
      </w:r>
      <w:r w:rsidR="008234F9" w:rsidRPr="005759A8">
        <w:rPr>
          <w:rFonts w:ascii="David" w:hAnsi="David" w:cs="David"/>
          <w:sz w:val="24"/>
          <w:szCs w:val="24"/>
          <w:rtl/>
        </w:rPr>
        <w:t>הפעילות המשיכה לגדול</w:t>
      </w:r>
      <w:r w:rsidR="00B111D3" w:rsidRPr="005759A8">
        <w:rPr>
          <w:rFonts w:ascii="David" w:hAnsi="David" w:cs="David"/>
          <w:sz w:val="24"/>
          <w:szCs w:val="24"/>
          <w:rtl/>
        </w:rPr>
        <w:t xml:space="preserve"> בענפים שהם לא </w:t>
      </w:r>
      <w:r w:rsidR="004419FF" w:rsidRPr="005759A8">
        <w:rPr>
          <w:rFonts w:ascii="David" w:hAnsi="David" w:cs="David"/>
          <w:sz w:val="24"/>
          <w:szCs w:val="24"/>
          <w:rtl/>
        </w:rPr>
        <w:t xml:space="preserve">מחייבים </w:t>
      </w:r>
      <w:r w:rsidR="00B111D3" w:rsidRPr="005759A8">
        <w:rPr>
          <w:rFonts w:ascii="David" w:hAnsi="David" w:cs="David"/>
          <w:sz w:val="24"/>
          <w:szCs w:val="24"/>
          <w:rtl/>
        </w:rPr>
        <w:t>קרבה</w:t>
      </w:r>
      <w:r w:rsidR="008234F9" w:rsidRPr="005759A8">
        <w:rPr>
          <w:rFonts w:ascii="David" w:hAnsi="David" w:cs="David"/>
          <w:sz w:val="24"/>
          <w:szCs w:val="24"/>
          <w:rtl/>
        </w:rPr>
        <w:t>.</w:t>
      </w:r>
      <w:r w:rsidR="003B7EEB" w:rsidRPr="005759A8">
        <w:rPr>
          <w:rFonts w:ascii="David" w:hAnsi="David" w:cs="David"/>
          <w:sz w:val="24"/>
          <w:szCs w:val="24"/>
          <w:rtl/>
        </w:rPr>
        <w:t xml:space="preserve"> סך ההוצאה בכרטיסי אשראי נאשרה יחסת יציבה בניגוד לתגובה באירועי סגר בהם נרשמה ירידה מובהקת.</w:t>
      </w:r>
    </w:p>
    <w:p w14:paraId="6A9B6770" w14:textId="209AB206" w:rsidR="008234F9" w:rsidRPr="005759A8" w:rsidRDefault="004419FF" w:rsidP="004419FF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t xml:space="preserve">ככל הנראה, </w:t>
      </w:r>
      <w:r w:rsidR="00A829CB" w:rsidRPr="005759A8">
        <w:rPr>
          <w:rFonts w:ascii="David" w:hAnsi="David" w:cs="David"/>
          <w:sz w:val="24"/>
          <w:szCs w:val="24"/>
          <w:rtl/>
        </w:rPr>
        <w:t>השפעת ההדבקה צפויה להימשך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 </w:t>
      </w:r>
      <w:r w:rsidRPr="005759A8">
        <w:rPr>
          <w:rFonts w:ascii="David" w:hAnsi="David" w:cs="David"/>
          <w:sz w:val="24"/>
          <w:szCs w:val="24"/>
          <w:rtl/>
        </w:rPr>
        <w:t xml:space="preserve">גם </w:t>
      </w:r>
      <w:r w:rsidR="008234F9" w:rsidRPr="005759A8">
        <w:rPr>
          <w:rFonts w:ascii="David" w:hAnsi="David" w:cs="David"/>
          <w:sz w:val="24"/>
          <w:szCs w:val="24"/>
          <w:rtl/>
        </w:rPr>
        <w:t>ב</w:t>
      </w:r>
      <w:r w:rsidR="0082735A" w:rsidRPr="005759A8">
        <w:rPr>
          <w:rFonts w:ascii="David" w:hAnsi="David" w:cs="David"/>
          <w:sz w:val="24"/>
          <w:szCs w:val="24"/>
          <w:rtl/>
        </w:rPr>
        <w:t>מהלך ה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מחצית השנייה של ינואר, כאשר </w:t>
      </w:r>
      <w:r w:rsidR="00A829CB" w:rsidRPr="005759A8">
        <w:rPr>
          <w:rFonts w:ascii="David" w:hAnsi="David" w:cs="David"/>
          <w:sz w:val="24"/>
          <w:szCs w:val="24"/>
          <w:rtl/>
        </w:rPr>
        <w:t>בטווח הנראה לעין לא צפויות הגבלות נוספות ואף הוחלט לאחרונה על קיצור ימי הבידוד של מאומתים.  ברקע להחלטות המתקבלות יש להזכיר את אחוז ההתחסנות הגבוה בישראל במיו</w:t>
      </w:r>
      <w:r w:rsidR="00FC5475" w:rsidRPr="005759A8">
        <w:rPr>
          <w:rFonts w:ascii="David" w:hAnsi="David" w:cs="David"/>
          <w:sz w:val="24"/>
          <w:szCs w:val="24"/>
          <w:rtl/>
        </w:rPr>
        <w:t>חד בקבוצות הגיל המבוגרות (איור 3)</w:t>
      </w:r>
      <w:r w:rsidR="00A829CB" w:rsidRPr="005759A8">
        <w:rPr>
          <w:rFonts w:ascii="David" w:hAnsi="David" w:cs="David"/>
          <w:sz w:val="24"/>
          <w:szCs w:val="24"/>
          <w:rtl/>
        </w:rPr>
        <w:t>.</w:t>
      </w:r>
      <w:r w:rsidR="008234F9" w:rsidRPr="005759A8">
        <w:rPr>
          <w:rFonts w:ascii="David" w:hAnsi="David" w:cs="David"/>
          <w:sz w:val="24"/>
          <w:szCs w:val="24"/>
          <w:rtl/>
        </w:rPr>
        <w:t xml:space="preserve"> </w:t>
      </w:r>
    </w:p>
    <w:p w14:paraId="66DC2C52" w14:textId="4C5B1868" w:rsidR="003F371B" w:rsidRPr="005759A8" w:rsidRDefault="00D45747" w:rsidP="0082735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lastRenderedPageBreak/>
        <w:t>על פי</w:t>
      </w:r>
      <w:r w:rsidR="00B33C17" w:rsidRPr="005759A8">
        <w:rPr>
          <w:rFonts w:ascii="David" w:hAnsi="David" w:cs="David"/>
          <w:sz w:val="24"/>
          <w:szCs w:val="24"/>
          <w:rtl/>
        </w:rPr>
        <w:t xml:space="preserve"> הערכות חטיבת המחקר מצב זה יגבה מחיר </w:t>
      </w:r>
      <w:r w:rsidR="00B111D3" w:rsidRPr="005759A8">
        <w:rPr>
          <w:rFonts w:ascii="David" w:hAnsi="David" w:cs="David"/>
          <w:sz w:val="24"/>
          <w:szCs w:val="24"/>
          <w:rtl/>
        </w:rPr>
        <w:t>למשק בטווח הקצר על ידי כמות משמעותית של</w:t>
      </w:r>
      <w:r w:rsidR="00B33C17" w:rsidRPr="005759A8">
        <w:rPr>
          <w:rFonts w:ascii="David" w:hAnsi="David" w:cs="David"/>
          <w:sz w:val="24"/>
          <w:szCs w:val="24"/>
          <w:rtl/>
        </w:rPr>
        <w:t xml:space="preserve"> בידודים במהלך חודש ינואר, אך בהמשך לא צפויים סגרים כלליים כפי שהתרחשו בגלי</w:t>
      </w:r>
      <w:r w:rsidR="0082735A" w:rsidRPr="005759A8">
        <w:rPr>
          <w:rFonts w:ascii="David" w:hAnsi="David" w:cs="David"/>
          <w:sz w:val="24"/>
          <w:szCs w:val="24"/>
          <w:rtl/>
        </w:rPr>
        <w:t xml:space="preserve"> התחלואה</w:t>
      </w:r>
      <w:r w:rsidR="00B33C17" w:rsidRPr="005759A8">
        <w:rPr>
          <w:rFonts w:ascii="David" w:hAnsi="David" w:cs="David"/>
          <w:sz w:val="24"/>
          <w:szCs w:val="24"/>
          <w:rtl/>
        </w:rPr>
        <w:t xml:space="preserve"> </w:t>
      </w:r>
      <w:r w:rsidR="0082735A" w:rsidRPr="005759A8">
        <w:rPr>
          <w:rFonts w:ascii="David" w:hAnsi="David" w:cs="David"/>
          <w:sz w:val="24"/>
          <w:szCs w:val="24"/>
          <w:rtl/>
        </w:rPr>
        <w:t>ה</w:t>
      </w:r>
      <w:r w:rsidR="00B33C17" w:rsidRPr="005759A8">
        <w:rPr>
          <w:rFonts w:ascii="David" w:hAnsi="David" w:cs="David"/>
          <w:sz w:val="24"/>
          <w:szCs w:val="24"/>
          <w:rtl/>
        </w:rPr>
        <w:t xml:space="preserve">קודמים. על סמך הערכה זו חטיבת המחקר </w:t>
      </w:r>
      <w:r w:rsidR="0082735A" w:rsidRPr="005759A8">
        <w:rPr>
          <w:rFonts w:ascii="David" w:hAnsi="David" w:cs="David"/>
          <w:sz w:val="24"/>
          <w:szCs w:val="24"/>
          <w:rtl/>
        </w:rPr>
        <w:t xml:space="preserve">מעריכה </w:t>
      </w:r>
      <w:r w:rsidR="00B33C17" w:rsidRPr="005759A8">
        <w:rPr>
          <w:rFonts w:ascii="David" w:hAnsi="David" w:cs="David"/>
          <w:sz w:val="24"/>
          <w:szCs w:val="24"/>
          <w:rtl/>
        </w:rPr>
        <w:t>כי הצמיחה תגיע ל-5.5 אחוזים בשנת 2022, תוך התאוששות נוספת ב-2023 שתקרב את המשק למגמה ששררה טרום משבר הקורונה.</w:t>
      </w:r>
    </w:p>
    <w:p w14:paraId="08D4BA94" w14:textId="77777777" w:rsidR="00E31FAA" w:rsidRPr="005759A8" w:rsidRDefault="00E31FAA" w:rsidP="00B33C1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71956EDC" wp14:editId="0CCAD0E8">
            <wp:extent cx="5274310" cy="2966720"/>
            <wp:effectExtent l="0" t="0" r="2540" b="508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351E" w14:textId="44CDC5C8" w:rsidR="00917138" w:rsidRPr="005759A8" w:rsidRDefault="00917138" w:rsidP="00E31FAA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t>מקור: עיבודי בנק ישראל על סמך סקר המגמות של הלמ"ס</w:t>
      </w:r>
    </w:p>
    <w:p w14:paraId="25295CC1" w14:textId="3DC88E73" w:rsidR="00AC5E66" w:rsidRPr="005759A8" w:rsidRDefault="00AC5E66" w:rsidP="00E31FAA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520DA373" w14:textId="0AC661A1" w:rsidR="00AC5E66" w:rsidRPr="005759A8" w:rsidRDefault="00AC5E66" w:rsidP="00E31FAA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>איור 2</w:t>
      </w:r>
    </w:p>
    <w:p w14:paraId="7DDEEE2B" w14:textId="296F4FCA" w:rsidR="00811AD1" w:rsidRPr="005759A8" w:rsidRDefault="00FC5475" w:rsidP="00A829CB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759A8">
        <w:rPr>
          <w:rFonts w:ascii="David" w:hAnsi="David" w:cs="David"/>
          <w:noProof/>
          <w:sz w:val="24"/>
          <w:szCs w:val="24"/>
        </w:rPr>
        <w:lastRenderedPageBreak/>
        <w:drawing>
          <wp:inline distT="0" distB="0" distL="0" distR="0" wp14:anchorId="14856690" wp14:editId="017DDD99">
            <wp:extent cx="4572000" cy="3219450"/>
            <wp:effectExtent l="0" t="0" r="0" b="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1E5FFB" w14:textId="3CCC9C9B" w:rsidR="00F50737" w:rsidRPr="005759A8" w:rsidRDefault="00F50737" w:rsidP="00F50737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sz w:val="24"/>
          <w:szCs w:val="24"/>
          <w:rtl/>
        </w:rPr>
        <w:t>מקור: עיבודי בנק ישראל על סמך נתוני חברת שב"א</w:t>
      </w:r>
    </w:p>
    <w:p w14:paraId="2E54D43F" w14:textId="77777777" w:rsidR="00F50737" w:rsidRPr="005759A8" w:rsidRDefault="00F50737" w:rsidP="00A829CB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7C189E9" w14:textId="76A44224" w:rsidR="00E31FAA" w:rsidRPr="005759A8" w:rsidRDefault="00FC5475" w:rsidP="00FC5475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5759A8">
        <w:rPr>
          <w:rFonts w:ascii="David" w:hAnsi="David" w:cs="David"/>
          <w:b/>
          <w:bCs/>
          <w:sz w:val="24"/>
          <w:szCs w:val="24"/>
          <w:rtl/>
        </w:rPr>
        <w:t>איור 3</w:t>
      </w:r>
      <w:r w:rsidR="00811AD1" w:rsidRPr="005759A8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7C75EFFE" wp14:editId="49A5C1D5">
            <wp:extent cx="5274310" cy="2966720"/>
            <wp:effectExtent l="0" t="0" r="2540" b="508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138" w:rsidRPr="005759A8">
        <w:rPr>
          <w:rFonts w:ascii="David" w:hAnsi="David" w:cs="David"/>
          <w:sz w:val="24"/>
          <w:szCs w:val="24"/>
          <w:rtl/>
        </w:rPr>
        <w:t>מקור: עיבודי בנק ישראל על סמך נתוני משרד הבריאות</w:t>
      </w:r>
    </w:p>
    <w:p w14:paraId="4AAC8FF0" w14:textId="41DA263F" w:rsidR="00E31FAA" w:rsidRPr="005759A8" w:rsidRDefault="00E31FAA" w:rsidP="00FC5475">
      <w:pPr>
        <w:bidi w:val="0"/>
        <w:rPr>
          <w:rFonts w:ascii="David" w:hAnsi="David" w:cs="David"/>
          <w:b/>
          <w:bCs/>
          <w:rtl/>
        </w:rPr>
      </w:pPr>
    </w:p>
    <w:sectPr w:rsidR="00E31FAA" w:rsidRPr="005759A8" w:rsidSect="00535D37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619A" w14:textId="77777777" w:rsidR="00D826B6" w:rsidRDefault="00D826B6" w:rsidP="00E674F8">
      <w:pPr>
        <w:spacing w:after="0" w:line="240" w:lineRule="auto"/>
      </w:pPr>
      <w:r>
        <w:separator/>
      </w:r>
    </w:p>
  </w:endnote>
  <w:endnote w:type="continuationSeparator" w:id="0">
    <w:p w14:paraId="72F6B891" w14:textId="77777777" w:rsidR="00D826B6" w:rsidRDefault="00D826B6" w:rsidP="00E6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21561422"/>
      <w:docPartObj>
        <w:docPartGallery w:val="Page Numbers (Bottom of Page)"/>
        <w:docPartUnique/>
      </w:docPartObj>
    </w:sdtPr>
    <w:sdtEndPr>
      <w:rPr>
        <w:cs/>
      </w:rPr>
    </w:sdtEndPr>
    <w:sdtContent>
      <w:p w14:paraId="1C017F3A" w14:textId="12145B9F" w:rsidR="00E674F8" w:rsidRDefault="00E674F8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759A8" w:rsidRPr="005759A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007A890C" w14:textId="77777777" w:rsidR="00E674F8" w:rsidRDefault="00E67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5269" w14:textId="77777777" w:rsidR="00D826B6" w:rsidRDefault="00D826B6" w:rsidP="00E674F8">
      <w:pPr>
        <w:spacing w:after="0" w:line="240" w:lineRule="auto"/>
      </w:pPr>
      <w:r>
        <w:separator/>
      </w:r>
    </w:p>
  </w:footnote>
  <w:footnote w:type="continuationSeparator" w:id="0">
    <w:p w14:paraId="5C765456" w14:textId="77777777" w:rsidR="00D826B6" w:rsidRDefault="00D826B6" w:rsidP="00E6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1C6"/>
    <w:multiLevelType w:val="hybridMultilevel"/>
    <w:tmpl w:val="90F8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9"/>
    <w:rsid w:val="000067CF"/>
    <w:rsid w:val="00070CBB"/>
    <w:rsid w:val="00077B43"/>
    <w:rsid w:val="000850D7"/>
    <w:rsid w:val="000F5DCF"/>
    <w:rsid w:val="00146A85"/>
    <w:rsid w:val="00162DF5"/>
    <w:rsid w:val="00184E9C"/>
    <w:rsid w:val="001C78DD"/>
    <w:rsid w:val="001E2FAA"/>
    <w:rsid w:val="002638DD"/>
    <w:rsid w:val="0029293B"/>
    <w:rsid w:val="002B1754"/>
    <w:rsid w:val="002C246B"/>
    <w:rsid w:val="002E20C3"/>
    <w:rsid w:val="00300B9E"/>
    <w:rsid w:val="003072FB"/>
    <w:rsid w:val="003B7EEB"/>
    <w:rsid w:val="003F371B"/>
    <w:rsid w:val="003F65A4"/>
    <w:rsid w:val="004419FF"/>
    <w:rsid w:val="00484D04"/>
    <w:rsid w:val="004C1975"/>
    <w:rsid w:val="004D6C6A"/>
    <w:rsid w:val="00535D37"/>
    <w:rsid w:val="005479C0"/>
    <w:rsid w:val="005759A8"/>
    <w:rsid w:val="00586C8A"/>
    <w:rsid w:val="00593E74"/>
    <w:rsid w:val="005A6D31"/>
    <w:rsid w:val="00636672"/>
    <w:rsid w:val="006A6BAD"/>
    <w:rsid w:val="00722443"/>
    <w:rsid w:val="00736C9C"/>
    <w:rsid w:val="00795EA5"/>
    <w:rsid w:val="007B4EA6"/>
    <w:rsid w:val="007E393C"/>
    <w:rsid w:val="00811AD1"/>
    <w:rsid w:val="008234F9"/>
    <w:rsid w:val="0082735A"/>
    <w:rsid w:val="008F46ED"/>
    <w:rsid w:val="00907F47"/>
    <w:rsid w:val="00914C86"/>
    <w:rsid w:val="00917138"/>
    <w:rsid w:val="0092684A"/>
    <w:rsid w:val="00980C1B"/>
    <w:rsid w:val="009A2227"/>
    <w:rsid w:val="009D7A83"/>
    <w:rsid w:val="009E4FD0"/>
    <w:rsid w:val="009F665B"/>
    <w:rsid w:val="00A24550"/>
    <w:rsid w:val="00A3195E"/>
    <w:rsid w:val="00A829CB"/>
    <w:rsid w:val="00A95B52"/>
    <w:rsid w:val="00AC5E66"/>
    <w:rsid w:val="00AF421D"/>
    <w:rsid w:val="00AF49E6"/>
    <w:rsid w:val="00B00F87"/>
    <w:rsid w:val="00B014AE"/>
    <w:rsid w:val="00B111D3"/>
    <w:rsid w:val="00B23273"/>
    <w:rsid w:val="00B30DF2"/>
    <w:rsid w:val="00B32186"/>
    <w:rsid w:val="00B33C17"/>
    <w:rsid w:val="00B46B17"/>
    <w:rsid w:val="00B518C6"/>
    <w:rsid w:val="00BB7D5F"/>
    <w:rsid w:val="00CA527B"/>
    <w:rsid w:val="00CB0E33"/>
    <w:rsid w:val="00CF2024"/>
    <w:rsid w:val="00D1505A"/>
    <w:rsid w:val="00D45747"/>
    <w:rsid w:val="00D826B6"/>
    <w:rsid w:val="00D87205"/>
    <w:rsid w:val="00DA54B2"/>
    <w:rsid w:val="00DD6671"/>
    <w:rsid w:val="00E31FAA"/>
    <w:rsid w:val="00E42308"/>
    <w:rsid w:val="00E674F8"/>
    <w:rsid w:val="00E847E5"/>
    <w:rsid w:val="00F04C5C"/>
    <w:rsid w:val="00F50737"/>
    <w:rsid w:val="00F54157"/>
    <w:rsid w:val="00FC4E72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AB55"/>
  <w15:chartTrackingRefBased/>
  <w15:docId w15:val="{5FAE7F0E-DB73-4D74-90F9-4A50FA5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674F8"/>
  </w:style>
  <w:style w:type="paragraph" w:styleId="a6">
    <w:name w:val="footer"/>
    <w:basedOn w:val="a"/>
    <w:link w:val="a7"/>
    <w:uiPriority w:val="99"/>
    <w:unhideWhenUsed/>
    <w:rsid w:val="00E6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674F8"/>
  </w:style>
  <w:style w:type="paragraph" w:styleId="a8">
    <w:name w:val="Balloon Text"/>
    <w:basedOn w:val="a"/>
    <w:link w:val="a9"/>
    <w:uiPriority w:val="99"/>
    <w:semiHidden/>
    <w:unhideWhenUsed/>
    <w:rsid w:val="008F46E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F46ED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3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35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8273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35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827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users\vusers\Users\z323\&#1492;&#1493;&#1491;&#1506;&#1493;&#1514;%20&#1500;&#1506;&#1514;&#1493;&#1504;&#1493;&#1514;\&#1499;&#1504;&#1505;%20&#1514;&#1506;&#1513;&#1497;&#1497;&#1504;&#1497;&#1501;\&#1506;&#1493;&#1514;&#1511;%20&#1513;&#1500;%20CC_Seas_R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סך הוצאה בכרטיסי</a:t>
            </a:r>
            <a:r>
              <a:rPr lang="he-IL" baseline="0"/>
              <a:t> אשראי (כחול) ותיירות נכנסת (אדום) החל מנובמבר מנוכה עונתיות - ינואר 2020=1</a:t>
            </a:r>
            <a:endParaRPr lang="he-I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תיירות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'SeasAdj-MA7-ResearchG'!$B$2128:$B$2205</c:f>
              <c:numCache>
                <c:formatCode>General</c:formatCode>
                <c:ptCount val="78"/>
                <c:pt idx="0">
                  <c:v>1.0639992266431526</c:v>
                </c:pt>
                <c:pt idx="1">
                  <c:v>1.0799306565105535</c:v>
                </c:pt>
                <c:pt idx="2">
                  <c:v>1.0590826376832536</c:v>
                </c:pt>
                <c:pt idx="3">
                  <c:v>1.0709972827382144</c:v>
                </c:pt>
                <c:pt idx="4">
                  <c:v>1.0786628465412222</c:v>
                </c:pt>
                <c:pt idx="5">
                  <c:v>1.082875710565766</c:v>
                </c:pt>
                <c:pt idx="6">
                  <c:v>1.058865786384678</c:v>
                </c:pt>
                <c:pt idx="7">
                  <c:v>1.0320768582294564</c:v>
                </c:pt>
                <c:pt idx="8">
                  <c:v>1.0326936700816032</c:v>
                </c:pt>
                <c:pt idx="9">
                  <c:v>1.0479834726972637</c:v>
                </c:pt>
                <c:pt idx="10">
                  <c:v>1.0655606909496438</c:v>
                </c:pt>
                <c:pt idx="11">
                  <c:v>1.0870082640492631</c:v>
                </c:pt>
                <c:pt idx="12">
                  <c:v>1.0903905840540298</c:v>
                </c:pt>
                <c:pt idx="13">
                  <c:v>1.0865523865059643</c:v>
                </c:pt>
                <c:pt idx="14">
                  <c:v>1.087458420648707</c:v>
                </c:pt>
                <c:pt idx="15">
                  <c:v>1.0912638656773872</c:v>
                </c:pt>
                <c:pt idx="16">
                  <c:v>1.071383968699684</c:v>
                </c:pt>
                <c:pt idx="17">
                  <c:v>1.0310523298598739</c:v>
                </c:pt>
                <c:pt idx="18">
                  <c:v>1.009685471903218</c:v>
                </c:pt>
                <c:pt idx="19">
                  <c:v>0.95665310475310894</c:v>
                </c:pt>
                <c:pt idx="20">
                  <c:v>1.0236763469049959</c:v>
                </c:pt>
                <c:pt idx="21">
                  <c:v>1.0106553918662382</c:v>
                </c:pt>
                <c:pt idx="22">
                  <c:v>0.99592249258966115</c:v>
                </c:pt>
                <c:pt idx="23">
                  <c:v>0.99588541520997831</c:v>
                </c:pt>
                <c:pt idx="24">
                  <c:v>0.99385786475282378</c:v>
                </c:pt>
                <c:pt idx="25">
                  <c:v>1.0251076466659392</c:v>
                </c:pt>
                <c:pt idx="26">
                  <c:v>1.0448117363716947</c:v>
                </c:pt>
                <c:pt idx="27">
                  <c:v>0.96155823661346251</c:v>
                </c:pt>
                <c:pt idx="28">
                  <c:v>0.97287340933975264</c:v>
                </c:pt>
                <c:pt idx="29">
                  <c:v>0.98327687588154522</c:v>
                </c:pt>
                <c:pt idx="30">
                  <c:v>0.99434996059925662</c:v>
                </c:pt>
                <c:pt idx="31">
                  <c:v>1.0123060723239941</c:v>
                </c:pt>
                <c:pt idx="32">
                  <c:v>0.96813714839563902</c:v>
                </c:pt>
                <c:pt idx="33">
                  <c:v>0.9812616139231557</c:v>
                </c:pt>
                <c:pt idx="34">
                  <c:v>1.0033463307253481</c:v>
                </c:pt>
                <c:pt idx="35">
                  <c:v>0.99874342298446284</c:v>
                </c:pt>
                <c:pt idx="36">
                  <c:v>0.98005021444651075</c:v>
                </c:pt>
                <c:pt idx="37">
                  <c:v>0.9397347174583095</c:v>
                </c:pt>
                <c:pt idx="38">
                  <c:v>0.91218426278647347</c:v>
                </c:pt>
                <c:pt idx="39">
                  <c:v>0.9068465544210027</c:v>
                </c:pt>
                <c:pt idx="40">
                  <c:v>0.8965593603753842</c:v>
                </c:pt>
                <c:pt idx="41">
                  <c:v>0.89443597868567659</c:v>
                </c:pt>
                <c:pt idx="42">
                  <c:v>0.87986947605444821</c:v>
                </c:pt>
                <c:pt idx="43">
                  <c:v>0.8710711427915484</c:v>
                </c:pt>
                <c:pt idx="44">
                  <c:v>0.87678944773059597</c:v>
                </c:pt>
                <c:pt idx="45">
                  <c:v>0.8789956901430902</c:v>
                </c:pt>
                <c:pt idx="46">
                  <c:v>0.88189917766445203</c:v>
                </c:pt>
                <c:pt idx="47">
                  <c:v>0.86472805137384767</c:v>
                </c:pt>
                <c:pt idx="48">
                  <c:v>0.82361637952198485</c:v>
                </c:pt>
                <c:pt idx="49">
                  <c:v>0.85488878555970016</c:v>
                </c:pt>
                <c:pt idx="50">
                  <c:v>0.8062960941675007</c:v>
                </c:pt>
                <c:pt idx="51">
                  <c:v>0.78652802872595962</c:v>
                </c:pt>
                <c:pt idx="52">
                  <c:v>0.77572201219764358</c:v>
                </c:pt>
                <c:pt idx="53">
                  <c:v>0.76284538272227598</c:v>
                </c:pt>
                <c:pt idx="54">
                  <c:v>0.76091590302606205</c:v>
                </c:pt>
                <c:pt idx="55">
                  <c:v>0.76872839053046194</c:v>
                </c:pt>
                <c:pt idx="56">
                  <c:v>0.72942314052839385</c:v>
                </c:pt>
                <c:pt idx="57">
                  <c:v>0.77934732071840718</c:v>
                </c:pt>
                <c:pt idx="58">
                  <c:v>0.81021527123616122</c:v>
                </c:pt>
                <c:pt idx="59">
                  <c:v>0.8083042250491449</c:v>
                </c:pt>
                <c:pt idx="60">
                  <c:v>0.82285587032409657</c:v>
                </c:pt>
                <c:pt idx="61">
                  <c:v>0.84670076892383395</c:v>
                </c:pt>
                <c:pt idx="62">
                  <c:v>0.86012275323015275</c:v>
                </c:pt>
                <c:pt idx="63">
                  <c:v>0.85217575339990581</c:v>
                </c:pt>
                <c:pt idx="64">
                  <c:v>0.84449268683823808</c:v>
                </c:pt>
                <c:pt idx="65">
                  <c:v>0.83432666527656718</c:v>
                </c:pt>
                <c:pt idx="66">
                  <c:v>0.85693659111636555</c:v>
                </c:pt>
                <c:pt idx="67">
                  <c:v>0.83837502313668144</c:v>
                </c:pt>
                <c:pt idx="68">
                  <c:v>0.82107499646554472</c:v>
                </c:pt>
                <c:pt idx="69">
                  <c:v>0.8100713621515907</c:v>
                </c:pt>
                <c:pt idx="70">
                  <c:v>0.81786266331210011</c:v>
                </c:pt>
                <c:pt idx="71">
                  <c:v>0.81727420358427971</c:v>
                </c:pt>
                <c:pt idx="72">
                  <c:v>0.82188315870012596</c:v>
                </c:pt>
                <c:pt idx="73">
                  <c:v>0.80825049404518501</c:v>
                </c:pt>
                <c:pt idx="74">
                  <c:v>0.80598490124543909</c:v>
                </c:pt>
                <c:pt idx="75">
                  <c:v>0.79517185116521671</c:v>
                </c:pt>
                <c:pt idx="76">
                  <c:v>0.79414269207700106</c:v>
                </c:pt>
                <c:pt idx="77">
                  <c:v>0.79255187478568689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4-40DE-A813-D06059447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170888"/>
        <c:axId val="584165640"/>
      </c:barChart>
      <c:lineChart>
        <c:grouping val="standard"/>
        <c:varyColors val="0"/>
        <c:ser>
          <c:idx val="0"/>
          <c:order val="0"/>
          <c:tx>
            <c:v>סך ההוצאה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'SeasAdj-MA7-ResearchG'!$A$2128:$A$2205</c:f>
              <c:strCache>
                <c:ptCount val="78"/>
                <c:pt idx="0">
                  <c:v>01/11/2021</c:v>
                </c:pt>
                <c:pt idx="1">
                  <c:v>02/11/2021</c:v>
                </c:pt>
                <c:pt idx="2">
                  <c:v>03/11/2021</c:v>
                </c:pt>
                <c:pt idx="3">
                  <c:v>04/11/2021</c:v>
                </c:pt>
                <c:pt idx="4">
                  <c:v>05/11/2021</c:v>
                </c:pt>
                <c:pt idx="5">
                  <c:v>06/11/2021</c:v>
                </c:pt>
                <c:pt idx="6">
                  <c:v>07/11/2021</c:v>
                </c:pt>
                <c:pt idx="7">
                  <c:v>08/11/2021</c:v>
                </c:pt>
                <c:pt idx="8">
                  <c:v>09/11/2021</c:v>
                </c:pt>
                <c:pt idx="9">
                  <c:v>10/11/2021</c:v>
                </c:pt>
                <c:pt idx="10">
                  <c:v>11/11/2021</c:v>
                </c:pt>
                <c:pt idx="11">
                  <c:v>12/11/2021</c:v>
                </c:pt>
                <c:pt idx="12">
                  <c:v>13/11/2021</c:v>
                </c:pt>
                <c:pt idx="13">
                  <c:v>14/11/2021</c:v>
                </c:pt>
                <c:pt idx="14">
                  <c:v>15/11/2021</c:v>
                </c:pt>
                <c:pt idx="15">
                  <c:v>16/11/2021</c:v>
                </c:pt>
                <c:pt idx="16">
                  <c:v>17/11/2021</c:v>
                </c:pt>
                <c:pt idx="17">
                  <c:v>18/11/2021</c:v>
                </c:pt>
                <c:pt idx="18">
                  <c:v>19/11/2021</c:v>
                </c:pt>
                <c:pt idx="19">
                  <c:v>20/11/2021</c:v>
                </c:pt>
                <c:pt idx="20">
                  <c:v>21/11/2021</c:v>
                </c:pt>
                <c:pt idx="21">
                  <c:v>22/11/2021</c:v>
                </c:pt>
                <c:pt idx="22">
                  <c:v>23/11/2021</c:v>
                </c:pt>
                <c:pt idx="23">
                  <c:v>24/11/2021</c:v>
                </c:pt>
                <c:pt idx="24">
                  <c:v>25/11/2021</c:v>
                </c:pt>
                <c:pt idx="25">
                  <c:v>26/11/2021</c:v>
                </c:pt>
                <c:pt idx="26">
                  <c:v>27/11/2021</c:v>
                </c:pt>
                <c:pt idx="27">
                  <c:v>28/11/2021</c:v>
                </c:pt>
                <c:pt idx="28">
                  <c:v>29/11/2021</c:v>
                </c:pt>
                <c:pt idx="29">
                  <c:v>30/11/2021</c:v>
                </c:pt>
                <c:pt idx="30">
                  <c:v>01/12/2021</c:v>
                </c:pt>
                <c:pt idx="31">
                  <c:v>02/12/2021</c:v>
                </c:pt>
                <c:pt idx="32">
                  <c:v>03/12/2021</c:v>
                </c:pt>
                <c:pt idx="33">
                  <c:v>04/12/2021</c:v>
                </c:pt>
                <c:pt idx="34">
                  <c:v>05/12/2021</c:v>
                </c:pt>
                <c:pt idx="35">
                  <c:v>06/12/2021</c:v>
                </c:pt>
                <c:pt idx="36">
                  <c:v>07/12/2021</c:v>
                </c:pt>
                <c:pt idx="37">
                  <c:v>08/12/2021</c:v>
                </c:pt>
                <c:pt idx="38">
                  <c:v>09/12/2021</c:v>
                </c:pt>
                <c:pt idx="39">
                  <c:v>10/12/2021</c:v>
                </c:pt>
                <c:pt idx="40">
                  <c:v>11/12/2021</c:v>
                </c:pt>
                <c:pt idx="41">
                  <c:v>12/12/2021</c:v>
                </c:pt>
                <c:pt idx="42">
                  <c:v>13/12/2021</c:v>
                </c:pt>
                <c:pt idx="43">
                  <c:v>14/12/2021</c:v>
                </c:pt>
                <c:pt idx="44">
                  <c:v>15/12/2021</c:v>
                </c:pt>
                <c:pt idx="45">
                  <c:v>16/12/2021</c:v>
                </c:pt>
                <c:pt idx="46">
                  <c:v>17/12/2021</c:v>
                </c:pt>
                <c:pt idx="47">
                  <c:v>18/12/2021</c:v>
                </c:pt>
                <c:pt idx="48">
                  <c:v>19/12/2021</c:v>
                </c:pt>
                <c:pt idx="49">
                  <c:v>20/12/2021</c:v>
                </c:pt>
                <c:pt idx="50">
                  <c:v>21/12/2021</c:v>
                </c:pt>
                <c:pt idx="51">
                  <c:v>22/12/2021</c:v>
                </c:pt>
                <c:pt idx="52">
                  <c:v>23/12/2021</c:v>
                </c:pt>
                <c:pt idx="53">
                  <c:v>24/12/2021</c:v>
                </c:pt>
                <c:pt idx="54">
                  <c:v>25/12/2021</c:v>
                </c:pt>
                <c:pt idx="55">
                  <c:v>26/12/2021</c:v>
                </c:pt>
                <c:pt idx="56">
                  <c:v>27/12/2021</c:v>
                </c:pt>
                <c:pt idx="57">
                  <c:v>28/12/2021</c:v>
                </c:pt>
                <c:pt idx="58">
                  <c:v>29/12/2021</c:v>
                </c:pt>
                <c:pt idx="59">
                  <c:v>30/12/2021</c:v>
                </c:pt>
                <c:pt idx="60">
                  <c:v>31/12/2021</c:v>
                </c:pt>
                <c:pt idx="61">
                  <c:v>01/01/2022</c:v>
                </c:pt>
                <c:pt idx="62">
                  <c:v>02/01/2022</c:v>
                </c:pt>
                <c:pt idx="63">
                  <c:v>03/01/2022</c:v>
                </c:pt>
                <c:pt idx="64">
                  <c:v>04/01/2022</c:v>
                </c:pt>
                <c:pt idx="65">
                  <c:v>05/01/2022</c:v>
                </c:pt>
                <c:pt idx="66">
                  <c:v>06/01/2022</c:v>
                </c:pt>
                <c:pt idx="67">
                  <c:v>07/01/2022</c:v>
                </c:pt>
                <c:pt idx="68">
                  <c:v>08/01/2022</c:v>
                </c:pt>
                <c:pt idx="69">
                  <c:v>09/01/2022</c:v>
                </c:pt>
                <c:pt idx="70">
                  <c:v>10/01/2022</c:v>
                </c:pt>
                <c:pt idx="71">
                  <c:v>11/01/2022</c:v>
                </c:pt>
                <c:pt idx="72">
                  <c:v>12/01/2022</c:v>
                </c:pt>
                <c:pt idx="73">
                  <c:v>13/01/2022</c:v>
                </c:pt>
                <c:pt idx="74">
                  <c:v>14/01/2022</c:v>
                </c:pt>
                <c:pt idx="75">
                  <c:v>15/01/2022</c:v>
                </c:pt>
                <c:pt idx="76">
                  <c:v>16/01/2022</c:v>
                </c:pt>
                <c:pt idx="77">
                  <c:v>17/01/2022</c:v>
                </c:pt>
              </c:strCache>
            </c:strRef>
          </c:cat>
          <c:val>
            <c:numRef>
              <c:f>'SeasAdj-MA7-ResearchG'!$L$2128:$L$2205</c:f>
              <c:numCache>
                <c:formatCode>General</c:formatCode>
                <c:ptCount val="78"/>
                <c:pt idx="0">
                  <c:v>1.1862245576043577</c:v>
                </c:pt>
                <c:pt idx="1">
                  <c:v>1.172247741938232</c:v>
                </c:pt>
                <c:pt idx="2">
                  <c:v>1.1586266460644985</c:v>
                </c:pt>
                <c:pt idx="3">
                  <c:v>1.1427529100348983</c:v>
                </c:pt>
                <c:pt idx="4">
                  <c:v>1.1869429677644243</c:v>
                </c:pt>
                <c:pt idx="5">
                  <c:v>1.195257905255245</c:v>
                </c:pt>
                <c:pt idx="6">
                  <c:v>1.1696799825622675</c:v>
                </c:pt>
                <c:pt idx="7">
                  <c:v>1.143030515763868</c:v>
                </c:pt>
                <c:pt idx="8">
                  <c:v>1.1259275109985933</c:v>
                </c:pt>
                <c:pt idx="9">
                  <c:v>1.1452339816203521</c:v>
                </c:pt>
                <c:pt idx="10">
                  <c:v>1.1649517324814158</c:v>
                </c:pt>
                <c:pt idx="11">
                  <c:v>1.1839028205880289</c:v>
                </c:pt>
                <c:pt idx="12">
                  <c:v>1.1620000304037477</c:v>
                </c:pt>
                <c:pt idx="13">
                  <c:v>1.1915080024155122</c:v>
                </c:pt>
                <c:pt idx="14">
                  <c:v>1.2288522023386794</c:v>
                </c:pt>
                <c:pt idx="15">
                  <c:v>1.2486594252541869</c:v>
                </c:pt>
                <c:pt idx="16">
                  <c:v>1.2351081152557779</c:v>
                </c:pt>
                <c:pt idx="17">
                  <c:v>1.1968070835611628</c:v>
                </c:pt>
                <c:pt idx="18">
                  <c:v>1.1917205970943379</c:v>
                </c:pt>
                <c:pt idx="19">
                  <c:v>1.181167675673938</c:v>
                </c:pt>
                <c:pt idx="20">
                  <c:v>1.1752833404348417</c:v>
                </c:pt>
                <c:pt idx="21">
                  <c:v>1.1659899253730714</c:v>
                </c:pt>
                <c:pt idx="22">
                  <c:v>1.1499955305897138</c:v>
                </c:pt>
                <c:pt idx="23">
                  <c:v>1.1593710862776951</c:v>
                </c:pt>
                <c:pt idx="24">
                  <c:v>1.1660803338676808</c:v>
                </c:pt>
                <c:pt idx="25">
                  <c:v>1.102017325070398</c:v>
                </c:pt>
                <c:pt idx="26">
                  <c:v>1.1022990082538193</c:v>
                </c:pt>
                <c:pt idx="27">
                  <c:v>1.1186822810144368</c:v>
                </c:pt>
                <c:pt idx="28">
                  <c:v>1.1117345085142187</c:v>
                </c:pt>
                <c:pt idx="29">
                  <c:v>1.1007240970727572</c:v>
                </c:pt>
                <c:pt idx="30">
                  <c:v>1.0984324172309388</c:v>
                </c:pt>
                <c:pt idx="31">
                  <c:v>1.125006150398921</c:v>
                </c:pt>
                <c:pt idx="32">
                  <c:v>1.1726196713810346</c:v>
                </c:pt>
                <c:pt idx="33">
                  <c:v>1.1918915586264065</c:v>
                </c:pt>
                <c:pt idx="34">
                  <c:v>1.1445857736457974</c:v>
                </c:pt>
                <c:pt idx="35">
                  <c:v>1.1469016466696456</c:v>
                </c:pt>
                <c:pt idx="36">
                  <c:v>1.1592012969372418</c:v>
                </c:pt>
                <c:pt idx="37">
                  <c:v>1.1328787650584911</c:v>
                </c:pt>
                <c:pt idx="38">
                  <c:v>1.1137176423712145</c:v>
                </c:pt>
                <c:pt idx="39">
                  <c:v>1.1016716682407011</c:v>
                </c:pt>
                <c:pt idx="40">
                  <c:v>1.1013903778127765</c:v>
                </c:pt>
                <c:pt idx="41">
                  <c:v>1.1395927503392049</c:v>
                </c:pt>
                <c:pt idx="42">
                  <c:v>1.1495621926447261</c:v>
                </c:pt>
                <c:pt idx="43">
                  <c:v>1.1536786892149156</c:v>
                </c:pt>
                <c:pt idx="44">
                  <c:v>1.1589022604024277</c:v>
                </c:pt>
                <c:pt idx="45">
                  <c:v>1.1878193278426517</c:v>
                </c:pt>
                <c:pt idx="46">
                  <c:v>1.2030951968481838</c:v>
                </c:pt>
                <c:pt idx="47">
                  <c:v>1.1886883099915275</c:v>
                </c:pt>
                <c:pt idx="48">
                  <c:v>1.1436809823293537</c:v>
                </c:pt>
                <c:pt idx="49">
                  <c:v>1.1266683546204055</c:v>
                </c:pt>
                <c:pt idx="50">
                  <c:v>1.1175760981914122</c:v>
                </c:pt>
                <c:pt idx="51">
                  <c:v>1.1198994628345085</c:v>
                </c:pt>
                <c:pt idx="52">
                  <c:v>1.0925504427272512</c:v>
                </c:pt>
                <c:pt idx="53">
                  <c:v>1.0893655814247378</c:v>
                </c:pt>
                <c:pt idx="54">
                  <c:v>1.0733997944580473</c:v>
                </c:pt>
                <c:pt idx="55">
                  <c:v>1.0743236660267725</c:v>
                </c:pt>
                <c:pt idx="56">
                  <c:v>1.0832481251790358</c:v>
                </c:pt>
                <c:pt idx="57">
                  <c:v>1.1149713267533379</c:v>
                </c:pt>
                <c:pt idx="58">
                  <c:v>1.1331313538962677</c:v>
                </c:pt>
                <c:pt idx="59">
                  <c:v>1.1200750515422557</c:v>
                </c:pt>
                <c:pt idx="60">
                  <c:v>1.1233454557784999</c:v>
                </c:pt>
                <c:pt idx="61">
                  <c:v>1.1788553600398053</c:v>
                </c:pt>
                <c:pt idx="62">
                  <c:v>1.2042482235130547</c:v>
                </c:pt>
                <c:pt idx="63">
                  <c:v>1.1887997830911325</c:v>
                </c:pt>
                <c:pt idx="64">
                  <c:v>1.1603920472687534</c:v>
                </c:pt>
                <c:pt idx="65">
                  <c:v>1.1516192680956625</c:v>
                </c:pt>
                <c:pt idx="66">
                  <c:v>1.1985374787211596</c:v>
                </c:pt>
                <c:pt idx="67">
                  <c:v>1.1835916195305665</c:v>
                </c:pt>
                <c:pt idx="68">
                  <c:v>1.1676299467178151</c:v>
                </c:pt>
                <c:pt idx="69">
                  <c:v>1.1436288821258114</c:v>
                </c:pt>
                <c:pt idx="70">
                  <c:v>1.1533004241228306</c:v>
                </c:pt>
                <c:pt idx="71">
                  <c:v>1.1529578088498786</c:v>
                </c:pt>
                <c:pt idx="72">
                  <c:v>1.1508793115129126</c:v>
                </c:pt>
                <c:pt idx="73">
                  <c:v>1.1437723134858424</c:v>
                </c:pt>
                <c:pt idx="74">
                  <c:v>1.1322457070337408</c:v>
                </c:pt>
                <c:pt idx="75">
                  <c:v>1.1053579304805237</c:v>
                </c:pt>
                <c:pt idx="76">
                  <c:v>1.1606515670054529</c:v>
                </c:pt>
                <c:pt idx="77">
                  <c:v>1.1548587408751987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34-40DE-A813-D06059447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170888"/>
        <c:axId val="584165640"/>
      </c:lineChart>
      <c:catAx>
        <c:axId val="58417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84165640"/>
        <c:crosses val="autoZero"/>
        <c:auto val="1"/>
        <c:lblAlgn val="ctr"/>
        <c:lblOffset val="100"/>
        <c:noMultiLvlLbl val="0"/>
      </c:catAx>
      <c:valAx>
        <c:axId val="58416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84170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E35CB3-F301-4912-851A-B5DA5FEE812C}"/>
</file>

<file path=customXml/itemProps2.xml><?xml version="1.0" encoding="utf-8"?>
<ds:datastoreItem xmlns:ds="http://schemas.openxmlformats.org/officeDocument/2006/customXml" ds:itemID="{ED5E5C2B-826A-47C3-8677-35634BA97A6F}"/>
</file>

<file path=customXml/itemProps3.xml><?xml version="1.0" encoding="utf-8"?>
<ds:datastoreItem xmlns:ds="http://schemas.openxmlformats.org/officeDocument/2006/customXml" ds:itemID="{D19124B6-7F34-4AD1-A4F2-53AC471F3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מישל סטרבצ'ינסקי</dc:creator>
  <cp:keywords/>
  <dc:description/>
  <cp:lastModifiedBy>dovrot</cp:lastModifiedBy>
  <cp:revision>2</cp:revision>
  <dcterms:created xsi:type="dcterms:W3CDTF">2022-01-20T11:26:00Z</dcterms:created>
  <dcterms:modified xsi:type="dcterms:W3CDTF">2022-01-20T11:26:00Z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