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19" w:rsidRPr="00305365" w:rsidRDefault="00B44B19" w:rsidP="00B44B19">
      <w:pPr>
        <w:bidi w:val="0"/>
        <w:jc w:val="center"/>
        <w:rPr>
          <w:rFonts w:asciiTheme="minorHAnsi" w:hAnsiTheme="minorHAnsi" w:cstheme="minorHAnsi"/>
        </w:rPr>
      </w:pPr>
      <w:bookmarkStart w:id="0" w:name="_GoBack"/>
      <w:bookmarkEnd w:id="0"/>
      <w:r w:rsidRPr="00305365">
        <w:rPr>
          <w:rFonts w:asciiTheme="minorHAnsi" w:hAnsiTheme="minorHAnsi" w:cstheme="minorHAnsi"/>
          <w:noProof/>
          <w:rtl/>
        </w:rPr>
        <w:drawing>
          <wp:anchor distT="0" distB="0" distL="114300" distR="114300" simplePos="0" relativeHeight="251659264" behindDoc="0" locked="0" layoutInCell="1" allowOverlap="1" wp14:anchorId="3068A2D9" wp14:editId="393C2F15">
            <wp:simplePos x="0" y="0"/>
            <wp:positionH relativeFrom="margin">
              <wp:align>center</wp:align>
            </wp:positionH>
            <wp:positionV relativeFrom="margin">
              <wp:posOffset>-424180</wp:posOffset>
            </wp:positionV>
            <wp:extent cx="1054800" cy="1054800"/>
            <wp:effectExtent l="0" t="0" r="0" b="0"/>
            <wp:wrapNone/>
            <wp:docPr id="4"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800" cy="105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B19" w:rsidRPr="00305365" w:rsidRDefault="00B44B19" w:rsidP="00B44B19">
      <w:pPr>
        <w:bidi w:val="0"/>
        <w:jc w:val="center"/>
        <w:rPr>
          <w:rFonts w:asciiTheme="minorHAnsi" w:hAnsiTheme="minorHAnsi" w:cstheme="minorHAnsi"/>
          <w:rtl/>
        </w:rPr>
      </w:pPr>
    </w:p>
    <w:p w:rsidR="00B44B19" w:rsidRPr="00305365" w:rsidRDefault="00B44B19" w:rsidP="00B44B19">
      <w:pPr>
        <w:pStyle w:val="LetterheadBOI"/>
        <w:rPr>
          <w:rFonts w:asciiTheme="minorHAnsi" w:hAnsiTheme="minorHAnsi" w:cstheme="minorHAnsi"/>
        </w:rPr>
      </w:pPr>
    </w:p>
    <w:p w:rsidR="00B44B19" w:rsidRPr="00305365" w:rsidRDefault="00B44B19" w:rsidP="00B44B19">
      <w:pPr>
        <w:pStyle w:val="LetterheadBOI"/>
        <w:rPr>
          <w:rFonts w:asciiTheme="minorHAnsi" w:hAnsiTheme="minorHAnsi" w:cstheme="minorHAnsi"/>
        </w:rPr>
      </w:pPr>
    </w:p>
    <w:p w:rsidR="00B44B19" w:rsidRPr="00305365" w:rsidRDefault="00B44B19" w:rsidP="00B44B19">
      <w:pPr>
        <w:pStyle w:val="LetterheadBOI"/>
        <w:rPr>
          <w:rFonts w:asciiTheme="minorHAnsi" w:hAnsiTheme="minorHAnsi" w:cstheme="minorHAnsi"/>
        </w:rPr>
      </w:pPr>
      <w:r w:rsidRPr="00305365">
        <w:rPr>
          <w:rFonts w:asciiTheme="minorHAnsi" w:hAnsiTheme="minorHAnsi" w:cstheme="minorHAnsi"/>
        </w:rPr>
        <w:t>BANK OF ISRAEL</w:t>
      </w:r>
    </w:p>
    <w:p w:rsidR="00B44B19" w:rsidRPr="00305365" w:rsidRDefault="00B44B19" w:rsidP="00B44B19">
      <w:pPr>
        <w:pStyle w:val="Letterhead2"/>
        <w:rPr>
          <w:rFonts w:asciiTheme="minorHAnsi" w:hAnsiTheme="minorHAnsi" w:cstheme="minorHAnsi"/>
          <w:b/>
        </w:rPr>
      </w:pPr>
      <w:r w:rsidRPr="00305365">
        <w:rPr>
          <w:rFonts w:asciiTheme="minorHAnsi" w:hAnsiTheme="minorHAnsi" w:cstheme="minorHAnsi"/>
        </w:rPr>
        <w:t>Office of the Spokesperson and Economic Information</w:t>
      </w:r>
    </w:p>
    <w:p w:rsidR="00B44B19" w:rsidRPr="00305365" w:rsidRDefault="00B44B19" w:rsidP="00B44B19">
      <w:pPr>
        <w:bidi w:val="0"/>
        <w:jc w:val="center"/>
        <w:rPr>
          <w:rFonts w:asciiTheme="minorHAnsi" w:hAnsiTheme="minorHAnsi" w:cstheme="minorHAnsi"/>
          <w:b/>
          <w:bCs/>
          <w:sz w:val="26"/>
          <w:szCs w:val="26"/>
        </w:rPr>
      </w:pPr>
    </w:p>
    <w:p w:rsidR="00B44B19" w:rsidRPr="00305365" w:rsidRDefault="000D5119" w:rsidP="000D5119">
      <w:pPr>
        <w:bidi w:val="0"/>
        <w:jc w:val="right"/>
        <w:rPr>
          <w:rFonts w:asciiTheme="minorHAnsi" w:hAnsiTheme="minorHAnsi" w:cstheme="minorHAnsi"/>
        </w:rPr>
      </w:pPr>
      <w:r w:rsidRPr="00305365">
        <w:rPr>
          <w:rFonts w:asciiTheme="minorHAnsi" w:hAnsiTheme="minorHAnsi" w:cstheme="minorHAnsi"/>
        </w:rPr>
        <w:t>October</w:t>
      </w:r>
      <w:r w:rsidR="00B525D0" w:rsidRPr="00305365">
        <w:rPr>
          <w:rFonts w:asciiTheme="minorHAnsi" w:hAnsiTheme="minorHAnsi" w:cstheme="minorHAnsi"/>
        </w:rPr>
        <w:t xml:space="preserve"> </w:t>
      </w:r>
      <w:r w:rsidRPr="00305365">
        <w:rPr>
          <w:rFonts w:asciiTheme="minorHAnsi" w:hAnsiTheme="minorHAnsi" w:cstheme="minorHAnsi"/>
        </w:rPr>
        <w:t>9</w:t>
      </w:r>
      <w:r w:rsidR="00F31BDD" w:rsidRPr="00305365">
        <w:rPr>
          <w:rFonts w:asciiTheme="minorHAnsi" w:hAnsiTheme="minorHAnsi" w:cstheme="minorHAnsi"/>
        </w:rPr>
        <w:t>, 2024</w:t>
      </w:r>
    </w:p>
    <w:p w:rsidR="00B44B19" w:rsidRPr="00305365" w:rsidRDefault="00B44B19" w:rsidP="008F2323">
      <w:pPr>
        <w:bidi w:val="0"/>
        <w:jc w:val="center"/>
        <w:rPr>
          <w:rFonts w:asciiTheme="minorHAnsi" w:hAnsiTheme="minorHAnsi" w:cstheme="minorHAnsi"/>
          <w:b/>
          <w:bCs/>
        </w:rPr>
      </w:pPr>
    </w:p>
    <w:p w:rsidR="00A21D01" w:rsidRPr="00305365" w:rsidRDefault="00A21D01" w:rsidP="000D5119">
      <w:pPr>
        <w:bidi w:val="0"/>
        <w:jc w:val="center"/>
        <w:rPr>
          <w:rFonts w:asciiTheme="minorHAnsi" w:hAnsiTheme="minorHAnsi" w:cstheme="minorHAnsi"/>
          <w:b/>
          <w:bCs/>
          <w:sz w:val="28"/>
          <w:szCs w:val="28"/>
        </w:rPr>
      </w:pPr>
      <w:r w:rsidRPr="00305365">
        <w:rPr>
          <w:rFonts w:asciiTheme="minorHAnsi" w:hAnsiTheme="minorHAnsi" w:cstheme="minorHAnsi"/>
          <w:b/>
          <w:bCs/>
          <w:sz w:val="28"/>
          <w:szCs w:val="28"/>
        </w:rPr>
        <w:t xml:space="preserve">Research Department Staff Forecast, </w:t>
      </w:r>
      <w:r w:rsidR="000D5119" w:rsidRPr="00305365">
        <w:rPr>
          <w:rFonts w:asciiTheme="minorHAnsi" w:hAnsiTheme="minorHAnsi" w:cstheme="minorHAnsi"/>
          <w:b/>
          <w:bCs/>
          <w:sz w:val="28"/>
          <w:szCs w:val="28"/>
        </w:rPr>
        <w:t>October</w:t>
      </w:r>
      <w:r w:rsidR="00F31BDD" w:rsidRPr="00305365">
        <w:rPr>
          <w:rFonts w:asciiTheme="minorHAnsi" w:hAnsiTheme="minorHAnsi" w:cstheme="minorHAnsi"/>
          <w:b/>
          <w:bCs/>
          <w:sz w:val="28"/>
          <w:szCs w:val="28"/>
        </w:rPr>
        <w:t xml:space="preserve"> 2024</w:t>
      </w:r>
    </w:p>
    <w:p w:rsidR="00252B31" w:rsidRPr="00305365" w:rsidRDefault="00252B31" w:rsidP="007D70EA">
      <w:pPr>
        <w:bidi w:val="0"/>
        <w:spacing w:line="360" w:lineRule="auto"/>
        <w:jc w:val="both"/>
        <w:rPr>
          <w:rFonts w:asciiTheme="minorHAnsi" w:hAnsiTheme="minorHAnsi" w:cstheme="minorHAnsi"/>
          <w:b/>
          <w:bCs/>
        </w:rPr>
      </w:pPr>
    </w:p>
    <w:p w:rsidR="00A21D01" w:rsidRPr="00305365" w:rsidRDefault="00A21D01" w:rsidP="00252B31">
      <w:pPr>
        <w:bidi w:val="0"/>
        <w:spacing w:line="360" w:lineRule="auto"/>
        <w:jc w:val="both"/>
        <w:rPr>
          <w:rFonts w:asciiTheme="minorHAnsi" w:hAnsiTheme="minorHAnsi" w:cstheme="minorHAnsi"/>
        </w:rPr>
      </w:pPr>
      <w:r w:rsidRPr="00305365">
        <w:rPr>
          <w:rFonts w:asciiTheme="minorHAnsi" w:hAnsiTheme="minorHAnsi" w:cstheme="minorHAnsi"/>
          <w:b/>
          <w:bCs/>
        </w:rPr>
        <w:t>Abstract</w:t>
      </w:r>
    </w:p>
    <w:p w:rsidR="00D52059" w:rsidRPr="00305365" w:rsidRDefault="00B766FF" w:rsidP="00A15315">
      <w:pPr>
        <w:bidi w:val="0"/>
        <w:jc w:val="both"/>
        <w:rPr>
          <w:rFonts w:asciiTheme="minorHAnsi" w:hAnsiTheme="minorHAnsi" w:cstheme="minorHAnsi"/>
        </w:rPr>
      </w:pPr>
      <w:r w:rsidRPr="00305365">
        <w:rPr>
          <w:rFonts w:asciiTheme="minorHAnsi" w:hAnsiTheme="minorHAnsi" w:cstheme="minorHAnsi"/>
        </w:rPr>
        <w:t xml:space="preserve">This document presents the macroeconomic staff forecast formulated by the Bank of Israel Research Department in </w:t>
      </w:r>
      <w:r w:rsidR="00184300" w:rsidRPr="00305365">
        <w:rPr>
          <w:rFonts w:asciiTheme="minorHAnsi" w:hAnsiTheme="minorHAnsi" w:cstheme="minorHAnsi"/>
        </w:rPr>
        <w:t>October</w:t>
      </w:r>
      <w:r w:rsidR="00F31BDD" w:rsidRPr="00305365">
        <w:rPr>
          <w:rFonts w:asciiTheme="minorHAnsi" w:hAnsiTheme="minorHAnsi" w:cstheme="minorHAnsi"/>
        </w:rPr>
        <w:t xml:space="preserve"> 2024</w:t>
      </w:r>
      <w:r w:rsidR="00A30AC5" w:rsidRPr="00305365">
        <w:rPr>
          <w:rStyle w:val="ac"/>
          <w:rFonts w:asciiTheme="minorHAnsi" w:hAnsiTheme="minorHAnsi" w:cstheme="minorHAnsi"/>
        </w:rPr>
        <w:footnoteReference w:id="1"/>
      </w:r>
      <w:r w:rsidRPr="00305365">
        <w:rPr>
          <w:rFonts w:asciiTheme="minorHAnsi" w:hAnsiTheme="minorHAnsi" w:cstheme="minorHAnsi"/>
        </w:rPr>
        <w:t xml:space="preserve"> concerning the main macroeconomic variables—GDP, inflation, and the interest rate.</w:t>
      </w:r>
      <w:r w:rsidR="00B525D0" w:rsidRPr="00305365">
        <w:rPr>
          <w:rFonts w:asciiTheme="minorHAnsi" w:hAnsiTheme="minorHAnsi" w:cstheme="minorHAnsi"/>
        </w:rPr>
        <w:t xml:space="preserve"> </w:t>
      </w:r>
      <w:r w:rsidR="00DB4F15" w:rsidRPr="00305365">
        <w:rPr>
          <w:rFonts w:asciiTheme="minorHAnsi" w:hAnsiTheme="minorHAnsi" w:cstheme="minorHAnsi"/>
        </w:rPr>
        <w:t>T</w:t>
      </w:r>
      <w:r w:rsidR="00B525D0" w:rsidRPr="00305365">
        <w:rPr>
          <w:rFonts w:asciiTheme="minorHAnsi" w:hAnsiTheme="minorHAnsi" w:cstheme="minorHAnsi"/>
        </w:rPr>
        <w:t>his forecast was formulated</w:t>
      </w:r>
      <w:r w:rsidR="007D6422" w:rsidRPr="00305365">
        <w:rPr>
          <w:rFonts w:asciiTheme="minorHAnsi" w:hAnsiTheme="minorHAnsi" w:cstheme="minorHAnsi"/>
        </w:rPr>
        <w:t xml:space="preserve"> under the assumption that the </w:t>
      </w:r>
      <w:r w:rsidR="000D5119" w:rsidRPr="00305365">
        <w:rPr>
          <w:rFonts w:asciiTheme="minorHAnsi" w:hAnsiTheme="minorHAnsi" w:cstheme="minorHAnsi"/>
        </w:rPr>
        <w:t>w</w:t>
      </w:r>
      <w:r w:rsidR="007D6422" w:rsidRPr="00305365">
        <w:rPr>
          <w:rFonts w:asciiTheme="minorHAnsi" w:hAnsiTheme="minorHAnsi" w:cstheme="minorHAnsi"/>
        </w:rPr>
        <w:t xml:space="preserve">ar’s direct impact on the </w:t>
      </w:r>
      <w:r w:rsidR="00184300" w:rsidRPr="00305365">
        <w:rPr>
          <w:rFonts w:asciiTheme="minorHAnsi" w:hAnsiTheme="minorHAnsi" w:cstheme="minorHAnsi"/>
        </w:rPr>
        <w:t>economy</w:t>
      </w:r>
      <w:r w:rsidR="000B4DDD" w:rsidRPr="00305365">
        <w:rPr>
          <w:rFonts w:asciiTheme="minorHAnsi" w:hAnsiTheme="minorHAnsi" w:cstheme="minorHAnsi"/>
        </w:rPr>
        <w:t xml:space="preserve"> </w:t>
      </w:r>
      <w:r w:rsidR="00F31BDD" w:rsidRPr="00305365">
        <w:rPr>
          <w:rFonts w:asciiTheme="minorHAnsi" w:hAnsiTheme="minorHAnsi" w:cstheme="minorHAnsi"/>
        </w:rPr>
        <w:t xml:space="preserve">will </w:t>
      </w:r>
      <w:r w:rsidR="007D6422" w:rsidRPr="00305365">
        <w:rPr>
          <w:rFonts w:asciiTheme="minorHAnsi" w:hAnsiTheme="minorHAnsi" w:cstheme="minorHAnsi"/>
        </w:rPr>
        <w:t xml:space="preserve">continue </w:t>
      </w:r>
      <w:r w:rsidR="00184300" w:rsidRPr="00305365">
        <w:rPr>
          <w:rFonts w:asciiTheme="minorHAnsi" w:hAnsiTheme="minorHAnsi" w:cstheme="minorHAnsi"/>
        </w:rPr>
        <w:t>into</w:t>
      </w:r>
      <w:r w:rsidR="00F31BDD" w:rsidRPr="00305365">
        <w:rPr>
          <w:rFonts w:asciiTheme="minorHAnsi" w:hAnsiTheme="minorHAnsi" w:cstheme="minorHAnsi"/>
        </w:rPr>
        <w:t xml:space="preserve"> </w:t>
      </w:r>
      <w:r w:rsidR="00184300" w:rsidRPr="00305365">
        <w:rPr>
          <w:rFonts w:asciiTheme="minorHAnsi" w:hAnsiTheme="minorHAnsi" w:cstheme="minorHAnsi"/>
        </w:rPr>
        <w:t>early</w:t>
      </w:r>
      <w:r w:rsidR="007D6422" w:rsidRPr="00305365">
        <w:rPr>
          <w:rFonts w:asciiTheme="minorHAnsi" w:hAnsiTheme="minorHAnsi" w:cstheme="minorHAnsi"/>
        </w:rPr>
        <w:t xml:space="preserve"> 202</w:t>
      </w:r>
      <w:r w:rsidR="00DB4F15" w:rsidRPr="00305365">
        <w:rPr>
          <w:rFonts w:asciiTheme="minorHAnsi" w:hAnsiTheme="minorHAnsi" w:cstheme="minorHAnsi"/>
        </w:rPr>
        <w:t>5</w:t>
      </w:r>
      <w:r w:rsidR="00F31BDD" w:rsidRPr="00305365">
        <w:rPr>
          <w:rFonts w:asciiTheme="minorHAnsi" w:hAnsiTheme="minorHAnsi" w:cstheme="minorHAnsi"/>
        </w:rPr>
        <w:t>.</w:t>
      </w:r>
      <w:r w:rsidR="00DB4F15" w:rsidRPr="00305365">
        <w:rPr>
          <w:rFonts w:asciiTheme="minorHAnsi" w:hAnsiTheme="minorHAnsi" w:cstheme="minorHAnsi"/>
        </w:rPr>
        <w:t xml:space="preserve">  This assumption reflects more </w:t>
      </w:r>
      <w:r w:rsidR="00184300" w:rsidRPr="00305365">
        <w:rPr>
          <w:rFonts w:asciiTheme="minorHAnsi" w:hAnsiTheme="minorHAnsi" w:cstheme="minorHAnsi"/>
        </w:rPr>
        <w:t>intense</w:t>
      </w:r>
      <w:r w:rsidR="00DB4F15" w:rsidRPr="00305365">
        <w:rPr>
          <w:rFonts w:asciiTheme="minorHAnsi" w:hAnsiTheme="minorHAnsi" w:cstheme="minorHAnsi"/>
        </w:rPr>
        <w:t xml:space="preserve"> fighting</w:t>
      </w:r>
      <w:r w:rsidR="00184300" w:rsidRPr="00305365">
        <w:rPr>
          <w:rFonts w:asciiTheme="minorHAnsi" w:hAnsiTheme="minorHAnsi" w:cstheme="minorHAnsi"/>
        </w:rPr>
        <w:t xml:space="preserve"> toward the end of 2024 and in early 2025</w:t>
      </w:r>
      <w:r w:rsidR="00DB4F15" w:rsidRPr="00305365">
        <w:rPr>
          <w:rFonts w:asciiTheme="minorHAnsi" w:hAnsiTheme="minorHAnsi" w:cstheme="minorHAnsi"/>
        </w:rPr>
        <w:t xml:space="preserve"> than the assumption underlying the </w:t>
      </w:r>
      <w:r w:rsidR="00184300" w:rsidRPr="00305365">
        <w:rPr>
          <w:rFonts w:asciiTheme="minorHAnsi" w:hAnsiTheme="minorHAnsi" w:cstheme="minorHAnsi"/>
        </w:rPr>
        <w:t>July</w:t>
      </w:r>
      <w:r w:rsidR="00DB4F15" w:rsidRPr="00305365">
        <w:rPr>
          <w:rFonts w:asciiTheme="minorHAnsi" w:hAnsiTheme="minorHAnsi" w:cstheme="minorHAnsi"/>
        </w:rPr>
        <w:t xml:space="preserve"> forecast.</w:t>
      </w:r>
      <w:r w:rsidR="00184300" w:rsidRPr="00305365">
        <w:rPr>
          <w:rFonts w:asciiTheme="minorHAnsi" w:hAnsiTheme="minorHAnsi" w:cstheme="minorHAnsi"/>
        </w:rPr>
        <w:t xml:space="preserve">  In particular, the high intensity</w:t>
      </w:r>
      <w:r w:rsidR="00F31BDD" w:rsidRPr="00305365">
        <w:rPr>
          <w:rFonts w:asciiTheme="minorHAnsi" w:hAnsiTheme="minorHAnsi" w:cstheme="minorHAnsi"/>
        </w:rPr>
        <w:t xml:space="preserve"> </w:t>
      </w:r>
      <w:r w:rsidR="00184300" w:rsidRPr="00305365">
        <w:rPr>
          <w:rFonts w:asciiTheme="minorHAnsi" w:hAnsiTheme="minorHAnsi" w:cstheme="minorHAnsi"/>
        </w:rPr>
        <w:t>that has been a feature of the recent period is expected to continue in the near future, with a broader interruption of economic activity on the home front, mainly in the north of the country.</w:t>
      </w:r>
      <w:r w:rsidR="00F31BDD" w:rsidRPr="00305365">
        <w:rPr>
          <w:rFonts w:asciiTheme="minorHAnsi" w:hAnsiTheme="minorHAnsi" w:cstheme="minorHAnsi"/>
        </w:rPr>
        <w:t xml:space="preserve"> </w:t>
      </w:r>
      <w:r w:rsidR="008F7582" w:rsidRPr="00305365">
        <w:rPr>
          <w:rFonts w:asciiTheme="minorHAnsi" w:hAnsiTheme="minorHAnsi" w:cstheme="minorHAnsi"/>
        </w:rPr>
        <w:t>The forecast features a particularly high level of unce</w:t>
      </w:r>
      <w:r w:rsidR="00DB4F15" w:rsidRPr="00305365">
        <w:rPr>
          <w:rFonts w:asciiTheme="minorHAnsi" w:hAnsiTheme="minorHAnsi" w:cstheme="minorHAnsi"/>
        </w:rPr>
        <w:t>rtainty</w:t>
      </w:r>
      <w:r w:rsidR="00A15315" w:rsidRPr="00305365">
        <w:rPr>
          <w:rFonts w:asciiTheme="minorHAnsi" w:hAnsiTheme="minorHAnsi" w:cstheme="minorHAnsi"/>
        </w:rPr>
        <w:t>.</w:t>
      </w:r>
      <w:r w:rsidR="00DB4F15" w:rsidRPr="00305365">
        <w:rPr>
          <w:rFonts w:asciiTheme="minorHAnsi" w:hAnsiTheme="minorHAnsi" w:cstheme="minorHAnsi"/>
        </w:rPr>
        <w:t xml:space="preserve"> </w:t>
      </w:r>
      <w:r w:rsidR="00A15315" w:rsidRPr="00305365">
        <w:rPr>
          <w:rFonts w:asciiTheme="minorHAnsi" w:hAnsiTheme="minorHAnsi" w:cstheme="minorHAnsi"/>
        </w:rPr>
        <w:t xml:space="preserve">In </w:t>
      </w:r>
      <w:r w:rsidR="008F7582" w:rsidRPr="00305365">
        <w:rPr>
          <w:rFonts w:asciiTheme="minorHAnsi" w:hAnsiTheme="minorHAnsi" w:cstheme="minorHAnsi"/>
        </w:rPr>
        <w:t>part</w:t>
      </w:r>
      <w:r w:rsidR="00DB4F15" w:rsidRPr="00305365">
        <w:rPr>
          <w:rFonts w:asciiTheme="minorHAnsi" w:hAnsiTheme="minorHAnsi" w:cstheme="minorHAnsi"/>
        </w:rPr>
        <w:t>icular</w:t>
      </w:r>
      <w:r w:rsidR="00A15315" w:rsidRPr="00305365">
        <w:rPr>
          <w:rFonts w:asciiTheme="minorHAnsi" w:hAnsiTheme="minorHAnsi" w:cstheme="minorHAnsi"/>
        </w:rPr>
        <w:t>,</w:t>
      </w:r>
      <w:r w:rsidR="00DB4F15" w:rsidRPr="00305365">
        <w:rPr>
          <w:rFonts w:asciiTheme="minorHAnsi" w:hAnsiTheme="minorHAnsi" w:cstheme="minorHAnsi"/>
        </w:rPr>
        <w:t xml:space="preserve"> the</w:t>
      </w:r>
      <w:r w:rsidR="00A15315" w:rsidRPr="00305365">
        <w:rPr>
          <w:rFonts w:asciiTheme="minorHAnsi" w:hAnsiTheme="minorHAnsi" w:cstheme="minorHAnsi"/>
        </w:rPr>
        <w:t>re is an increased</w:t>
      </w:r>
      <w:r w:rsidR="00DB4F15" w:rsidRPr="00305365">
        <w:rPr>
          <w:rFonts w:asciiTheme="minorHAnsi" w:hAnsiTheme="minorHAnsi" w:cstheme="minorHAnsi"/>
        </w:rPr>
        <w:t xml:space="preserve"> probability of more </w:t>
      </w:r>
      <w:r w:rsidR="000D5119" w:rsidRPr="00305365">
        <w:rPr>
          <w:rFonts w:asciiTheme="minorHAnsi" w:hAnsiTheme="minorHAnsi" w:cstheme="minorHAnsi"/>
        </w:rPr>
        <w:t>severe</w:t>
      </w:r>
      <w:r w:rsidR="00DB4F15" w:rsidRPr="00305365">
        <w:rPr>
          <w:rFonts w:asciiTheme="minorHAnsi" w:hAnsiTheme="minorHAnsi" w:cstheme="minorHAnsi"/>
        </w:rPr>
        <w:t xml:space="preserve"> security scenarios than those included in the</w:t>
      </w:r>
      <w:r w:rsidR="00A15315" w:rsidRPr="00305365">
        <w:rPr>
          <w:rFonts w:asciiTheme="minorHAnsi" w:hAnsiTheme="minorHAnsi" w:cstheme="minorHAnsi"/>
        </w:rPr>
        <w:t xml:space="preserve"> baseline scenario of</w:t>
      </w:r>
      <w:r w:rsidR="00DB4F15" w:rsidRPr="00305365">
        <w:rPr>
          <w:rFonts w:asciiTheme="minorHAnsi" w:hAnsiTheme="minorHAnsi" w:cstheme="minorHAnsi"/>
        </w:rPr>
        <w:t xml:space="preserve"> </w:t>
      </w:r>
      <w:r w:rsidR="0009185E" w:rsidRPr="00305365">
        <w:rPr>
          <w:rFonts w:asciiTheme="minorHAnsi" w:hAnsiTheme="minorHAnsi" w:cstheme="minorHAnsi"/>
        </w:rPr>
        <w:t xml:space="preserve">the </w:t>
      </w:r>
      <w:r w:rsidR="00DB4F15" w:rsidRPr="00305365">
        <w:rPr>
          <w:rFonts w:asciiTheme="minorHAnsi" w:hAnsiTheme="minorHAnsi" w:cstheme="minorHAnsi"/>
        </w:rPr>
        <w:t xml:space="preserve">forecast such as a further </w:t>
      </w:r>
      <w:r w:rsidR="00A15315" w:rsidRPr="00305365">
        <w:rPr>
          <w:rFonts w:asciiTheme="minorHAnsi" w:hAnsiTheme="minorHAnsi" w:cstheme="minorHAnsi"/>
        </w:rPr>
        <w:t>intensification of the fighting on various fronts and a longer exte</w:t>
      </w:r>
      <w:r w:rsidR="00DB4F15" w:rsidRPr="00305365">
        <w:rPr>
          <w:rFonts w:asciiTheme="minorHAnsi" w:hAnsiTheme="minorHAnsi" w:cstheme="minorHAnsi"/>
        </w:rPr>
        <w:t>nsion of the war’s duration.</w:t>
      </w:r>
      <w:r w:rsidR="00A15315" w:rsidRPr="00305365">
        <w:rPr>
          <w:rFonts w:asciiTheme="minorHAnsi" w:hAnsiTheme="minorHAnsi" w:cstheme="minorHAnsi"/>
        </w:rPr>
        <w:t xml:space="preserve">  If these come to pass, they are expected to be reflected in a further impairment of economic activity.</w:t>
      </w:r>
    </w:p>
    <w:p w:rsidR="00D975F7" w:rsidRPr="00305365" w:rsidRDefault="00D975F7" w:rsidP="00D975F7">
      <w:pPr>
        <w:bidi w:val="0"/>
        <w:jc w:val="both"/>
        <w:rPr>
          <w:rFonts w:asciiTheme="minorHAnsi" w:hAnsiTheme="minorHAnsi" w:cstheme="minorHAnsi"/>
        </w:rPr>
      </w:pPr>
    </w:p>
    <w:p w:rsidR="007D6422" w:rsidRPr="00305365" w:rsidRDefault="007D6422" w:rsidP="00CA0296">
      <w:pPr>
        <w:bidi w:val="0"/>
        <w:jc w:val="both"/>
        <w:rPr>
          <w:rFonts w:asciiTheme="minorHAnsi" w:hAnsiTheme="minorHAnsi" w:cstheme="minorHAnsi"/>
        </w:rPr>
      </w:pPr>
      <w:r w:rsidRPr="00305365">
        <w:rPr>
          <w:rFonts w:asciiTheme="minorHAnsi" w:hAnsiTheme="minorHAnsi" w:cstheme="minorHAnsi"/>
        </w:rPr>
        <w:t xml:space="preserve">According to the </w:t>
      </w:r>
      <w:r w:rsidR="00A15315" w:rsidRPr="00305365">
        <w:rPr>
          <w:rFonts w:asciiTheme="minorHAnsi" w:hAnsiTheme="minorHAnsi" w:cstheme="minorHAnsi"/>
        </w:rPr>
        <w:t xml:space="preserve">baseline </w:t>
      </w:r>
      <w:r w:rsidRPr="00305365">
        <w:rPr>
          <w:rFonts w:asciiTheme="minorHAnsi" w:hAnsiTheme="minorHAnsi" w:cstheme="minorHAnsi"/>
        </w:rPr>
        <w:t xml:space="preserve">forecast, GDP is expected to grow by </w:t>
      </w:r>
      <w:r w:rsidR="00184300" w:rsidRPr="00305365">
        <w:rPr>
          <w:rFonts w:asciiTheme="minorHAnsi" w:hAnsiTheme="minorHAnsi" w:cstheme="minorHAnsi"/>
        </w:rPr>
        <w:t>0</w:t>
      </w:r>
      <w:r w:rsidR="00DB4F15" w:rsidRPr="00305365">
        <w:rPr>
          <w:rFonts w:asciiTheme="minorHAnsi" w:hAnsiTheme="minorHAnsi" w:cstheme="minorHAnsi"/>
        </w:rPr>
        <w:t>.5</w:t>
      </w:r>
      <w:r w:rsidR="00184300" w:rsidRPr="00305365">
        <w:rPr>
          <w:rFonts w:asciiTheme="minorHAnsi" w:hAnsiTheme="minorHAnsi" w:cstheme="minorHAnsi"/>
        </w:rPr>
        <w:t xml:space="preserve"> </w:t>
      </w:r>
      <w:r w:rsidRPr="00305365">
        <w:rPr>
          <w:rFonts w:asciiTheme="minorHAnsi" w:hAnsiTheme="minorHAnsi" w:cstheme="minorHAnsi"/>
        </w:rPr>
        <w:t>percent in 202</w:t>
      </w:r>
      <w:r w:rsidR="00B525D0" w:rsidRPr="00305365">
        <w:rPr>
          <w:rFonts w:asciiTheme="minorHAnsi" w:hAnsiTheme="minorHAnsi" w:cstheme="minorHAnsi"/>
        </w:rPr>
        <w:t>4</w:t>
      </w:r>
      <w:r w:rsidRPr="00305365">
        <w:rPr>
          <w:rFonts w:asciiTheme="minorHAnsi" w:hAnsiTheme="minorHAnsi" w:cstheme="minorHAnsi"/>
        </w:rPr>
        <w:t xml:space="preserve"> </w:t>
      </w:r>
      <w:r w:rsidR="00F31BDD" w:rsidRPr="00305365">
        <w:rPr>
          <w:rFonts w:asciiTheme="minorHAnsi" w:hAnsiTheme="minorHAnsi" w:cstheme="minorHAnsi"/>
        </w:rPr>
        <w:t xml:space="preserve">and by </w:t>
      </w:r>
      <w:r w:rsidR="00184300" w:rsidRPr="00305365">
        <w:rPr>
          <w:rFonts w:asciiTheme="minorHAnsi" w:hAnsiTheme="minorHAnsi" w:cstheme="minorHAnsi"/>
        </w:rPr>
        <w:t>3.8</w:t>
      </w:r>
      <w:r w:rsidR="00F31BDD" w:rsidRPr="00305365">
        <w:rPr>
          <w:rFonts w:asciiTheme="minorHAnsi" w:hAnsiTheme="minorHAnsi" w:cstheme="minorHAnsi"/>
        </w:rPr>
        <w:t xml:space="preserve"> percent in 2025</w:t>
      </w:r>
      <w:r w:rsidR="00CA0296" w:rsidRPr="00305365">
        <w:rPr>
          <w:rFonts w:asciiTheme="minorHAnsi" w:hAnsiTheme="minorHAnsi" w:cstheme="minorHAnsi"/>
        </w:rPr>
        <w:t xml:space="preserve">, which are </w:t>
      </w:r>
      <w:r w:rsidR="00184300" w:rsidRPr="00305365">
        <w:rPr>
          <w:rFonts w:asciiTheme="minorHAnsi" w:hAnsiTheme="minorHAnsi" w:cstheme="minorHAnsi"/>
        </w:rPr>
        <w:t xml:space="preserve">1.0 percent and 0.4 percent </w:t>
      </w:r>
      <w:r w:rsidR="00DB4F15" w:rsidRPr="00305365">
        <w:rPr>
          <w:rFonts w:asciiTheme="minorHAnsi" w:hAnsiTheme="minorHAnsi" w:cstheme="minorHAnsi"/>
        </w:rPr>
        <w:t>lower than</w:t>
      </w:r>
      <w:r w:rsidR="00B525D0" w:rsidRPr="00305365">
        <w:rPr>
          <w:rFonts w:asciiTheme="minorHAnsi" w:hAnsiTheme="minorHAnsi" w:cstheme="minorHAnsi"/>
        </w:rPr>
        <w:t xml:space="preserve"> our assessment in the </w:t>
      </w:r>
      <w:r w:rsidR="00184300" w:rsidRPr="00305365">
        <w:rPr>
          <w:rFonts w:asciiTheme="minorHAnsi" w:hAnsiTheme="minorHAnsi" w:cstheme="minorHAnsi"/>
        </w:rPr>
        <w:t>July</w:t>
      </w:r>
      <w:r w:rsidR="00B525D0" w:rsidRPr="00305365">
        <w:rPr>
          <w:rFonts w:asciiTheme="minorHAnsi" w:hAnsiTheme="minorHAnsi" w:cstheme="minorHAnsi"/>
        </w:rPr>
        <w:t xml:space="preserve"> forecast</w:t>
      </w:r>
      <w:r w:rsidR="00184300" w:rsidRPr="00305365">
        <w:rPr>
          <w:rFonts w:asciiTheme="minorHAnsi" w:hAnsiTheme="minorHAnsi" w:cstheme="minorHAnsi"/>
        </w:rPr>
        <w:t>, respectively</w:t>
      </w:r>
      <w:r w:rsidRPr="00305365">
        <w:rPr>
          <w:rFonts w:asciiTheme="minorHAnsi" w:hAnsiTheme="minorHAnsi" w:cstheme="minorHAnsi"/>
        </w:rPr>
        <w:t xml:space="preserve">.  The inflation rate in </w:t>
      </w:r>
      <w:r w:rsidR="00B525D0" w:rsidRPr="00305365">
        <w:rPr>
          <w:rFonts w:asciiTheme="minorHAnsi" w:hAnsiTheme="minorHAnsi" w:cstheme="minorHAnsi"/>
        </w:rPr>
        <w:t xml:space="preserve">the coming four quarters (ending in the </w:t>
      </w:r>
      <w:r w:rsidR="00653278" w:rsidRPr="00305365">
        <w:rPr>
          <w:rFonts w:asciiTheme="minorHAnsi" w:hAnsiTheme="minorHAnsi" w:cstheme="minorHAnsi"/>
        </w:rPr>
        <w:t>thir</w:t>
      </w:r>
      <w:r w:rsidR="00DB4F15" w:rsidRPr="00305365">
        <w:rPr>
          <w:rFonts w:asciiTheme="minorHAnsi" w:hAnsiTheme="minorHAnsi" w:cstheme="minorHAnsi"/>
        </w:rPr>
        <w:t>d</w:t>
      </w:r>
      <w:r w:rsidR="00B525D0" w:rsidRPr="00305365">
        <w:rPr>
          <w:rFonts w:asciiTheme="minorHAnsi" w:hAnsiTheme="minorHAnsi" w:cstheme="minorHAnsi"/>
        </w:rPr>
        <w:t xml:space="preserve"> quarter of 2025) </w:t>
      </w:r>
      <w:r w:rsidRPr="00305365">
        <w:rPr>
          <w:rFonts w:asciiTheme="minorHAnsi" w:hAnsiTheme="minorHAnsi" w:cstheme="minorHAnsi"/>
        </w:rPr>
        <w:t xml:space="preserve">is expected to be </w:t>
      </w:r>
      <w:r w:rsidR="00DB4F15" w:rsidRPr="00305365">
        <w:rPr>
          <w:rFonts w:asciiTheme="minorHAnsi" w:hAnsiTheme="minorHAnsi" w:cstheme="minorHAnsi"/>
        </w:rPr>
        <w:t>3.</w:t>
      </w:r>
      <w:r w:rsidRPr="00305365">
        <w:rPr>
          <w:rFonts w:asciiTheme="minorHAnsi" w:hAnsiTheme="minorHAnsi" w:cstheme="minorHAnsi"/>
        </w:rPr>
        <w:t>2 percent</w:t>
      </w:r>
      <w:r w:rsidR="00DB4F15" w:rsidRPr="00305365">
        <w:rPr>
          <w:rFonts w:asciiTheme="minorHAnsi" w:hAnsiTheme="minorHAnsi" w:cstheme="minorHAnsi"/>
        </w:rPr>
        <w:t xml:space="preserve">, </w:t>
      </w:r>
      <w:r w:rsidR="00653278" w:rsidRPr="00305365">
        <w:rPr>
          <w:rFonts w:asciiTheme="minorHAnsi" w:hAnsiTheme="minorHAnsi" w:cstheme="minorHAnsi"/>
        </w:rPr>
        <w:t>in view of the more inflationary domestic environment than in our July assessment, partly due to the revised assumptions regarding the intensity of the fighting</w:t>
      </w:r>
      <w:r w:rsidR="00B525D0" w:rsidRPr="00305365">
        <w:rPr>
          <w:rFonts w:asciiTheme="minorHAnsi" w:hAnsiTheme="minorHAnsi" w:cstheme="minorHAnsi"/>
        </w:rPr>
        <w:t xml:space="preserve">.  Inflation in 2024 is expected to be </w:t>
      </w:r>
      <w:r w:rsidR="00DB4F15" w:rsidRPr="00305365">
        <w:rPr>
          <w:rFonts w:asciiTheme="minorHAnsi" w:hAnsiTheme="minorHAnsi" w:cstheme="minorHAnsi"/>
        </w:rPr>
        <w:t>3.</w:t>
      </w:r>
      <w:r w:rsidR="00653278" w:rsidRPr="00305365">
        <w:rPr>
          <w:rFonts w:asciiTheme="minorHAnsi" w:hAnsiTheme="minorHAnsi" w:cstheme="minorHAnsi"/>
        </w:rPr>
        <w:t>8</w:t>
      </w:r>
      <w:r w:rsidR="00B525D0" w:rsidRPr="00305365">
        <w:rPr>
          <w:rFonts w:asciiTheme="minorHAnsi" w:hAnsiTheme="minorHAnsi" w:cstheme="minorHAnsi"/>
        </w:rPr>
        <w:t xml:space="preserve"> percent</w:t>
      </w:r>
      <w:r w:rsidR="00003666" w:rsidRPr="00305365">
        <w:rPr>
          <w:rFonts w:asciiTheme="minorHAnsi" w:hAnsiTheme="minorHAnsi" w:cstheme="minorHAnsi"/>
        </w:rPr>
        <w:t xml:space="preserve"> (compared with </w:t>
      </w:r>
      <w:r w:rsidR="00653278" w:rsidRPr="00305365">
        <w:rPr>
          <w:rFonts w:asciiTheme="minorHAnsi" w:hAnsiTheme="minorHAnsi" w:cstheme="minorHAnsi"/>
        </w:rPr>
        <w:t>3.0</w:t>
      </w:r>
      <w:r w:rsidR="00003666" w:rsidRPr="00305365">
        <w:rPr>
          <w:rFonts w:asciiTheme="minorHAnsi" w:hAnsiTheme="minorHAnsi" w:cstheme="minorHAnsi"/>
        </w:rPr>
        <w:t xml:space="preserve"> percent in the </w:t>
      </w:r>
      <w:r w:rsidR="00653278" w:rsidRPr="00305365">
        <w:rPr>
          <w:rFonts w:asciiTheme="minorHAnsi" w:hAnsiTheme="minorHAnsi" w:cstheme="minorHAnsi"/>
        </w:rPr>
        <w:t>July</w:t>
      </w:r>
      <w:r w:rsidR="00003666" w:rsidRPr="00305365">
        <w:rPr>
          <w:rFonts w:asciiTheme="minorHAnsi" w:hAnsiTheme="minorHAnsi" w:cstheme="minorHAnsi"/>
        </w:rPr>
        <w:t xml:space="preserve"> forecast)</w:t>
      </w:r>
      <w:r w:rsidR="00B525D0" w:rsidRPr="00305365">
        <w:rPr>
          <w:rFonts w:asciiTheme="minorHAnsi" w:hAnsiTheme="minorHAnsi" w:cstheme="minorHAnsi"/>
        </w:rPr>
        <w:t>,</w:t>
      </w:r>
      <w:r w:rsidRPr="00305365">
        <w:rPr>
          <w:rFonts w:asciiTheme="minorHAnsi" w:hAnsiTheme="minorHAnsi" w:cstheme="minorHAnsi"/>
        </w:rPr>
        <w:t xml:space="preserve"> and</w:t>
      </w:r>
      <w:r w:rsidR="00F31BDD" w:rsidRPr="00305365">
        <w:rPr>
          <w:rFonts w:asciiTheme="minorHAnsi" w:hAnsiTheme="minorHAnsi" w:cstheme="minorHAnsi"/>
        </w:rPr>
        <w:t xml:space="preserve"> in 2025 it is expected to be 2</w:t>
      </w:r>
      <w:r w:rsidR="00B525D0" w:rsidRPr="00305365">
        <w:rPr>
          <w:rFonts w:asciiTheme="minorHAnsi" w:hAnsiTheme="minorHAnsi" w:cstheme="minorHAnsi"/>
        </w:rPr>
        <w:t>.</w:t>
      </w:r>
      <w:r w:rsidR="00DB4F15" w:rsidRPr="00305365">
        <w:rPr>
          <w:rFonts w:asciiTheme="minorHAnsi" w:hAnsiTheme="minorHAnsi" w:cstheme="minorHAnsi"/>
        </w:rPr>
        <w:t>8</w:t>
      </w:r>
      <w:r w:rsidR="00F31BDD" w:rsidRPr="00305365">
        <w:rPr>
          <w:rFonts w:asciiTheme="minorHAnsi" w:hAnsiTheme="minorHAnsi" w:cstheme="minorHAnsi"/>
        </w:rPr>
        <w:t xml:space="preserve"> percent</w:t>
      </w:r>
      <w:r w:rsidR="00003666" w:rsidRPr="00305365">
        <w:rPr>
          <w:rFonts w:asciiTheme="minorHAnsi" w:hAnsiTheme="minorHAnsi" w:cstheme="minorHAnsi"/>
        </w:rPr>
        <w:t xml:space="preserve"> (</w:t>
      </w:r>
      <w:r w:rsidR="00653278" w:rsidRPr="00305365">
        <w:rPr>
          <w:rFonts w:asciiTheme="minorHAnsi" w:hAnsiTheme="minorHAnsi" w:cstheme="minorHAnsi"/>
        </w:rPr>
        <w:t>similar to the July</w:t>
      </w:r>
      <w:r w:rsidR="00003666" w:rsidRPr="00305365">
        <w:rPr>
          <w:rFonts w:asciiTheme="minorHAnsi" w:hAnsiTheme="minorHAnsi" w:cstheme="minorHAnsi"/>
        </w:rPr>
        <w:t xml:space="preserve"> forecast)</w:t>
      </w:r>
      <w:r w:rsidR="00F31BDD" w:rsidRPr="00305365">
        <w:rPr>
          <w:rFonts w:asciiTheme="minorHAnsi" w:hAnsiTheme="minorHAnsi" w:cstheme="minorHAnsi"/>
        </w:rPr>
        <w:t>.</w:t>
      </w:r>
      <w:r w:rsidR="00653278" w:rsidRPr="00305365">
        <w:rPr>
          <w:rFonts w:asciiTheme="minorHAnsi" w:hAnsiTheme="minorHAnsi" w:cstheme="minorHAnsi"/>
        </w:rPr>
        <w:t xml:space="preserve">  The expected interest rate path was revised upward, such that in the third quarter of 2025, the interest rate is expected to be 4.5 percent.  </w:t>
      </w:r>
      <w:r w:rsidR="00DB4F15" w:rsidRPr="00305365">
        <w:rPr>
          <w:rFonts w:asciiTheme="minorHAnsi" w:hAnsiTheme="minorHAnsi" w:cstheme="minorHAnsi"/>
        </w:rPr>
        <w:t xml:space="preserve">In view of the </w:t>
      </w:r>
      <w:r w:rsidR="00653278" w:rsidRPr="00305365">
        <w:rPr>
          <w:rFonts w:asciiTheme="minorHAnsi" w:hAnsiTheme="minorHAnsi" w:cstheme="minorHAnsi"/>
        </w:rPr>
        <w:t xml:space="preserve">high geopolitical uncertainty and the </w:t>
      </w:r>
      <w:r w:rsidR="00DB4F15" w:rsidRPr="00305365">
        <w:rPr>
          <w:rFonts w:asciiTheme="minorHAnsi" w:hAnsiTheme="minorHAnsi" w:cstheme="minorHAnsi"/>
        </w:rPr>
        <w:t xml:space="preserve">increased probability that we attribute to more </w:t>
      </w:r>
      <w:r w:rsidR="000D5119" w:rsidRPr="00305365">
        <w:rPr>
          <w:rFonts w:asciiTheme="minorHAnsi" w:hAnsiTheme="minorHAnsi" w:cstheme="minorHAnsi"/>
        </w:rPr>
        <w:t>severe</w:t>
      </w:r>
      <w:r w:rsidR="00DB4F15" w:rsidRPr="00305365">
        <w:rPr>
          <w:rFonts w:asciiTheme="minorHAnsi" w:hAnsiTheme="minorHAnsi" w:cstheme="minorHAnsi"/>
        </w:rPr>
        <w:t xml:space="preserve"> security scenarios</w:t>
      </w:r>
      <w:r w:rsidR="00003666" w:rsidRPr="00305365">
        <w:rPr>
          <w:rFonts w:asciiTheme="minorHAnsi" w:hAnsiTheme="minorHAnsi" w:cstheme="minorHAnsi"/>
        </w:rPr>
        <w:t>,</w:t>
      </w:r>
      <w:r w:rsidR="00DB4F15" w:rsidRPr="00305365">
        <w:rPr>
          <w:rFonts w:asciiTheme="minorHAnsi" w:hAnsiTheme="minorHAnsi" w:cstheme="minorHAnsi"/>
        </w:rPr>
        <w:t xml:space="preserve"> the risk to the growth forecast tends downward, and the risks to the inflation</w:t>
      </w:r>
      <w:r w:rsidR="00653278" w:rsidRPr="00305365">
        <w:rPr>
          <w:rFonts w:asciiTheme="minorHAnsi" w:hAnsiTheme="minorHAnsi" w:cstheme="minorHAnsi"/>
        </w:rPr>
        <w:t>,</w:t>
      </w:r>
      <w:r w:rsidR="00DB4F15" w:rsidRPr="00305365">
        <w:rPr>
          <w:rFonts w:asciiTheme="minorHAnsi" w:hAnsiTheme="minorHAnsi" w:cstheme="minorHAnsi"/>
        </w:rPr>
        <w:t xml:space="preserve"> interest rate</w:t>
      </w:r>
      <w:r w:rsidR="00653278" w:rsidRPr="00305365">
        <w:rPr>
          <w:rFonts w:asciiTheme="minorHAnsi" w:hAnsiTheme="minorHAnsi" w:cstheme="minorHAnsi"/>
        </w:rPr>
        <w:t>, and government deficit</w:t>
      </w:r>
      <w:r w:rsidR="00DB4F15" w:rsidRPr="00305365">
        <w:rPr>
          <w:rFonts w:asciiTheme="minorHAnsi" w:hAnsiTheme="minorHAnsi" w:cstheme="minorHAnsi"/>
        </w:rPr>
        <w:t xml:space="preserve"> forecasts </w:t>
      </w:r>
      <w:proofErr w:type="spellStart"/>
      <w:r w:rsidR="00DB4F15" w:rsidRPr="00305365">
        <w:rPr>
          <w:rFonts w:asciiTheme="minorHAnsi" w:hAnsiTheme="minorHAnsi" w:cstheme="minorHAnsi"/>
        </w:rPr>
        <w:t>tend</w:t>
      </w:r>
      <w:proofErr w:type="spellEnd"/>
      <w:r w:rsidR="00DB4F15" w:rsidRPr="00305365">
        <w:rPr>
          <w:rFonts w:asciiTheme="minorHAnsi" w:hAnsiTheme="minorHAnsi" w:cstheme="minorHAnsi"/>
        </w:rPr>
        <w:t xml:space="preserve"> upward.</w:t>
      </w:r>
    </w:p>
    <w:p w:rsidR="005D7D3B" w:rsidRPr="00305365" w:rsidRDefault="005D7D3B" w:rsidP="00324468">
      <w:pPr>
        <w:bidi w:val="0"/>
        <w:jc w:val="both"/>
        <w:rPr>
          <w:rFonts w:asciiTheme="minorHAnsi" w:hAnsiTheme="minorHAnsi" w:cstheme="minorHAnsi"/>
        </w:rPr>
      </w:pPr>
    </w:p>
    <w:p w:rsidR="00E932DD" w:rsidRPr="00305365" w:rsidRDefault="00F7707F" w:rsidP="004675C1">
      <w:pPr>
        <w:bidi w:val="0"/>
        <w:jc w:val="both"/>
        <w:rPr>
          <w:rFonts w:asciiTheme="minorHAnsi" w:hAnsiTheme="minorHAnsi" w:cstheme="minorHAnsi"/>
          <w:b/>
          <w:bCs/>
        </w:rPr>
      </w:pPr>
      <w:r w:rsidRPr="00305365">
        <w:rPr>
          <w:rFonts w:asciiTheme="minorHAnsi" w:hAnsiTheme="minorHAnsi" w:cstheme="minorHAnsi"/>
          <w:b/>
          <w:bCs/>
        </w:rPr>
        <w:t>The forecast</w:t>
      </w:r>
    </w:p>
    <w:p w:rsidR="00F7707F" w:rsidRPr="00305365" w:rsidRDefault="00F7707F" w:rsidP="00F7707F">
      <w:pPr>
        <w:bidi w:val="0"/>
        <w:jc w:val="both"/>
        <w:rPr>
          <w:rFonts w:asciiTheme="minorHAnsi" w:hAnsiTheme="minorHAnsi" w:cstheme="minorHAnsi"/>
          <w:b/>
          <w:bCs/>
        </w:rPr>
      </w:pPr>
    </w:p>
    <w:p w:rsidR="004675C1" w:rsidRPr="00305365" w:rsidRDefault="004675C1" w:rsidP="00D9118C">
      <w:pPr>
        <w:bidi w:val="0"/>
        <w:jc w:val="both"/>
        <w:rPr>
          <w:rFonts w:asciiTheme="minorHAnsi" w:hAnsiTheme="minorHAnsi" w:cstheme="minorHAnsi"/>
        </w:rPr>
      </w:pPr>
      <w:r w:rsidRPr="00305365">
        <w:rPr>
          <w:rFonts w:asciiTheme="minorHAnsi" w:hAnsiTheme="minorHAnsi" w:cstheme="minorHAnsi"/>
        </w:rPr>
        <w:t xml:space="preserve">The Bank of Israel Research Department compiles a staff forecast of macroeconomic developments based on several models, various data sources, and assessments based on economists’ judgment. The Bank’s DSGE (Dynamic Stochastic General Equilibrium) model—a </w:t>
      </w:r>
      <w:r w:rsidRPr="00305365">
        <w:rPr>
          <w:rFonts w:asciiTheme="minorHAnsi" w:hAnsiTheme="minorHAnsi" w:cstheme="minorHAnsi"/>
        </w:rPr>
        <w:lastRenderedPageBreak/>
        <w:t xml:space="preserve">structural model </w:t>
      </w:r>
      <w:r w:rsidR="00F7707F" w:rsidRPr="00305365">
        <w:rPr>
          <w:rFonts w:asciiTheme="minorHAnsi" w:hAnsiTheme="minorHAnsi" w:cstheme="minorHAnsi"/>
        </w:rPr>
        <w:t xml:space="preserve">developed in the Research Department and </w:t>
      </w:r>
      <w:r w:rsidRPr="00305365">
        <w:rPr>
          <w:rFonts w:asciiTheme="minorHAnsi" w:hAnsiTheme="minorHAnsi" w:cstheme="minorHAnsi"/>
        </w:rPr>
        <w:t>based on microeconomic foundations—plays a prim</w:t>
      </w:r>
      <w:r w:rsidR="00A83C38" w:rsidRPr="00305365">
        <w:rPr>
          <w:rFonts w:asciiTheme="minorHAnsi" w:hAnsiTheme="minorHAnsi" w:cstheme="minorHAnsi"/>
        </w:rPr>
        <w:t>e</w:t>
      </w:r>
      <w:r w:rsidRPr="00305365">
        <w:rPr>
          <w:rFonts w:asciiTheme="minorHAnsi" w:hAnsiTheme="minorHAnsi" w:cstheme="minorHAnsi"/>
        </w:rPr>
        <w:t xml:space="preserve"> role in formulating the macroeconomic forecast.</w:t>
      </w:r>
      <w:r w:rsidRPr="00305365">
        <w:rPr>
          <w:rStyle w:val="ac"/>
          <w:rFonts w:asciiTheme="minorHAnsi" w:hAnsiTheme="minorHAnsi" w:cstheme="minorHAnsi"/>
        </w:rPr>
        <w:footnoteReference w:id="2"/>
      </w:r>
      <w:r w:rsidRPr="00305365">
        <w:rPr>
          <w:rFonts w:asciiTheme="minorHAnsi" w:hAnsiTheme="minorHAnsi" w:cstheme="minorHAnsi"/>
        </w:rPr>
        <w:t xml:space="preserve"> The model provides a framework for analyzing the forces that have an effect on the economy, and allows information from various sources to be combined into a macroeconomic forecast of real and nominal variables, with an internally consistent “economic story”.</w:t>
      </w:r>
    </w:p>
    <w:p w:rsidR="00D975F7" w:rsidRPr="00305365" w:rsidRDefault="00D975F7" w:rsidP="00D975F7">
      <w:pPr>
        <w:bidi w:val="0"/>
        <w:jc w:val="both"/>
        <w:rPr>
          <w:rFonts w:asciiTheme="minorHAnsi" w:hAnsiTheme="minorHAnsi" w:cstheme="minorHAnsi"/>
        </w:rPr>
      </w:pPr>
    </w:p>
    <w:p w:rsidR="007D6422" w:rsidRPr="00305365" w:rsidRDefault="007D6422" w:rsidP="000D5119">
      <w:pPr>
        <w:bidi w:val="0"/>
        <w:jc w:val="both"/>
        <w:rPr>
          <w:rFonts w:asciiTheme="minorHAnsi" w:hAnsiTheme="minorHAnsi" w:cstheme="minorHAnsi"/>
        </w:rPr>
      </w:pPr>
      <w:r w:rsidRPr="00305365">
        <w:rPr>
          <w:rFonts w:asciiTheme="minorHAnsi" w:hAnsiTheme="minorHAnsi" w:cstheme="minorHAnsi"/>
        </w:rPr>
        <w:t xml:space="preserve">In order to formulate estimates of the economic impact of the war, special emphasis was placed on an analysis of </w:t>
      </w:r>
      <w:r w:rsidR="009E1E37" w:rsidRPr="00305365">
        <w:rPr>
          <w:rFonts w:asciiTheme="minorHAnsi" w:hAnsiTheme="minorHAnsi" w:cstheme="minorHAnsi"/>
        </w:rPr>
        <w:t>real-time</w:t>
      </w:r>
      <w:r w:rsidRPr="00305365">
        <w:rPr>
          <w:rFonts w:asciiTheme="minorHAnsi" w:hAnsiTheme="minorHAnsi" w:cstheme="minorHAnsi"/>
        </w:rPr>
        <w:t xml:space="preserve"> data that show the scope of the impact</w:t>
      </w:r>
      <w:r w:rsidR="00E37ABC" w:rsidRPr="00305365">
        <w:rPr>
          <w:rFonts w:asciiTheme="minorHAnsi" w:hAnsiTheme="minorHAnsi" w:cstheme="minorHAnsi"/>
        </w:rPr>
        <w:t xml:space="preserve"> on</w:t>
      </w:r>
      <w:r w:rsidR="005537E5" w:rsidRPr="00305365">
        <w:rPr>
          <w:rFonts w:asciiTheme="minorHAnsi" w:hAnsiTheme="minorHAnsi" w:cstheme="minorHAnsi"/>
        </w:rPr>
        <w:t>—</w:t>
      </w:r>
      <w:r w:rsidR="00B525D0" w:rsidRPr="00305365">
        <w:rPr>
          <w:rFonts w:asciiTheme="minorHAnsi" w:hAnsiTheme="minorHAnsi" w:cstheme="minorHAnsi"/>
        </w:rPr>
        <w:t>and the pace of recovery of</w:t>
      </w:r>
      <w:r w:rsidR="005537E5" w:rsidRPr="00305365">
        <w:rPr>
          <w:rFonts w:asciiTheme="minorHAnsi" w:hAnsiTheme="minorHAnsi" w:cstheme="minorHAnsi"/>
        </w:rPr>
        <w:t>—</w:t>
      </w:r>
      <w:r w:rsidRPr="00305365">
        <w:rPr>
          <w:rFonts w:asciiTheme="minorHAnsi" w:hAnsiTheme="minorHAnsi" w:cstheme="minorHAnsi"/>
        </w:rPr>
        <w:t xml:space="preserve">the output of various industries and uses, as well as on an analysis of past </w:t>
      </w:r>
      <w:r w:rsidR="003A247B" w:rsidRPr="00305365">
        <w:rPr>
          <w:rFonts w:asciiTheme="minorHAnsi" w:hAnsiTheme="minorHAnsi" w:cstheme="minorHAnsi"/>
        </w:rPr>
        <w:t>confrontations</w:t>
      </w:r>
      <w:r w:rsidRPr="00305365">
        <w:rPr>
          <w:rFonts w:asciiTheme="minorHAnsi" w:hAnsiTheme="minorHAnsi" w:cstheme="minorHAnsi"/>
        </w:rPr>
        <w:t xml:space="preserve">.  </w:t>
      </w:r>
    </w:p>
    <w:p w:rsidR="007D6422" w:rsidRPr="00305365" w:rsidRDefault="007D6422" w:rsidP="007D6422">
      <w:pPr>
        <w:bidi w:val="0"/>
        <w:jc w:val="both"/>
        <w:rPr>
          <w:rFonts w:asciiTheme="minorHAnsi" w:hAnsiTheme="minorHAnsi" w:cstheme="minorHAnsi"/>
        </w:rPr>
      </w:pPr>
      <w:r w:rsidRPr="00305365">
        <w:rPr>
          <w:rFonts w:asciiTheme="minorHAnsi" w:hAnsiTheme="minorHAnsi" w:cstheme="minorHAnsi"/>
        </w:rPr>
        <w:t xml:space="preserve"> </w:t>
      </w:r>
    </w:p>
    <w:p w:rsidR="00A21D01" w:rsidRPr="00305365" w:rsidRDefault="00A21D01" w:rsidP="00A21D01">
      <w:pPr>
        <w:numPr>
          <w:ilvl w:val="0"/>
          <w:numId w:val="9"/>
        </w:numPr>
        <w:bidi w:val="0"/>
        <w:spacing w:line="360" w:lineRule="auto"/>
        <w:ind w:left="357" w:hanging="357"/>
        <w:jc w:val="both"/>
        <w:rPr>
          <w:rFonts w:asciiTheme="minorHAnsi" w:hAnsiTheme="minorHAnsi" w:cstheme="minorHAnsi"/>
          <w:b/>
          <w:bCs/>
        </w:rPr>
      </w:pPr>
      <w:r w:rsidRPr="00305365">
        <w:rPr>
          <w:rFonts w:asciiTheme="minorHAnsi" w:hAnsiTheme="minorHAnsi" w:cstheme="minorHAnsi"/>
          <w:b/>
          <w:bCs/>
        </w:rPr>
        <w:t>The global environment</w:t>
      </w:r>
    </w:p>
    <w:p w:rsidR="00D52059" w:rsidRPr="00305365" w:rsidRDefault="00A21D01" w:rsidP="00595042">
      <w:pPr>
        <w:bidi w:val="0"/>
        <w:jc w:val="both"/>
        <w:rPr>
          <w:rFonts w:asciiTheme="minorHAnsi" w:hAnsiTheme="minorHAnsi" w:cstheme="minorHAnsi"/>
        </w:rPr>
      </w:pPr>
      <w:r w:rsidRPr="00305365">
        <w:rPr>
          <w:rFonts w:asciiTheme="minorHAnsi" w:hAnsiTheme="minorHAnsi" w:cstheme="minorHAnsi"/>
        </w:rPr>
        <w:t xml:space="preserve">Our assessments of expected developments in the global economy are based mainly on projections by international </w:t>
      </w:r>
      <w:r w:rsidR="00C45D20" w:rsidRPr="00305365">
        <w:rPr>
          <w:rFonts w:asciiTheme="minorHAnsi" w:hAnsiTheme="minorHAnsi" w:cstheme="minorHAnsi"/>
        </w:rPr>
        <w:t xml:space="preserve">financial </w:t>
      </w:r>
      <w:r w:rsidRPr="00305365">
        <w:rPr>
          <w:rFonts w:asciiTheme="minorHAnsi" w:hAnsiTheme="minorHAnsi" w:cstheme="minorHAnsi"/>
        </w:rPr>
        <w:t>institutions and foreign investment houses.</w:t>
      </w:r>
      <w:r w:rsidR="00C55EB9" w:rsidRPr="00305365">
        <w:rPr>
          <w:rFonts w:asciiTheme="minorHAnsi" w:hAnsiTheme="minorHAnsi" w:cstheme="minorHAnsi"/>
        </w:rPr>
        <w:t xml:space="preserve">  </w:t>
      </w:r>
      <w:r w:rsidR="00550958" w:rsidRPr="00305365">
        <w:rPr>
          <w:rFonts w:asciiTheme="minorHAnsi" w:hAnsiTheme="minorHAnsi" w:cstheme="minorHAnsi"/>
        </w:rPr>
        <w:t>The</w:t>
      </w:r>
      <w:r w:rsidR="005537E5" w:rsidRPr="00305365">
        <w:rPr>
          <w:rFonts w:asciiTheme="minorHAnsi" w:hAnsiTheme="minorHAnsi" w:cstheme="minorHAnsi"/>
        </w:rPr>
        <w:t>se projections—regarding growth, inflation and the interest rates in the advanced economies—</w:t>
      </w:r>
      <w:r w:rsidR="00D9026F" w:rsidRPr="00305365">
        <w:rPr>
          <w:rFonts w:asciiTheme="minorHAnsi" w:hAnsiTheme="minorHAnsi" w:cstheme="minorHAnsi"/>
        </w:rPr>
        <w:t>remained virtually unchanged</w:t>
      </w:r>
      <w:r w:rsidR="005537E5" w:rsidRPr="00305365">
        <w:rPr>
          <w:rFonts w:asciiTheme="minorHAnsi" w:hAnsiTheme="minorHAnsi" w:cstheme="minorHAnsi"/>
        </w:rPr>
        <w:t xml:space="preserve"> relative to </w:t>
      </w:r>
      <w:r w:rsidR="00F31BDD" w:rsidRPr="00305365">
        <w:rPr>
          <w:rFonts w:asciiTheme="minorHAnsi" w:hAnsiTheme="minorHAnsi" w:cstheme="minorHAnsi"/>
        </w:rPr>
        <w:t>those used in</w:t>
      </w:r>
      <w:r w:rsidR="00550958" w:rsidRPr="00305365">
        <w:rPr>
          <w:rFonts w:asciiTheme="minorHAnsi" w:hAnsiTheme="minorHAnsi" w:cstheme="minorHAnsi"/>
        </w:rPr>
        <w:t xml:space="preserve"> the </w:t>
      </w:r>
      <w:r w:rsidR="00D9026F" w:rsidRPr="00305365">
        <w:rPr>
          <w:rFonts w:asciiTheme="minorHAnsi" w:hAnsiTheme="minorHAnsi" w:cstheme="minorHAnsi"/>
        </w:rPr>
        <w:t>July</w:t>
      </w:r>
      <w:r w:rsidR="00550958" w:rsidRPr="00305365">
        <w:rPr>
          <w:rFonts w:asciiTheme="minorHAnsi" w:hAnsiTheme="minorHAnsi" w:cstheme="minorHAnsi"/>
        </w:rPr>
        <w:t xml:space="preserve"> forecast.  </w:t>
      </w:r>
      <w:r w:rsidR="00D975F7" w:rsidRPr="00305365">
        <w:rPr>
          <w:rFonts w:asciiTheme="minorHAnsi" w:hAnsiTheme="minorHAnsi" w:cstheme="minorHAnsi"/>
        </w:rPr>
        <w:t xml:space="preserve">Accordingly, we assume that growth in the advanced economies </w:t>
      </w:r>
      <w:r w:rsidR="00060B61" w:rsidRPr="00305365">
        <w:rPr>
          <w:rFonts w:asciiTheme="minorHAnsi" w:hAnsiTheme="minorHAnsi" w:cstheme="minorHAnsi"/>
        </w:rPr>
        <w:t>will be</w:t>
      </w:r>
      <w:r w:rsidR="00D975F7" w:rsidRPr="00305365">
        <w:rPr>
          <w:rFonts w:asciiTheme="minorHAnsi" w:hAnsiTheme="minorHAnsi" w:cstheme="minorHAnsi"/>
        </w:rPr>
        <w:t xml:space="preserve"> </w:t>
      </w:r>
      <w:r w:rsidR="005537E5" w:rsidRPr="00305365">
        <w:rPr>
          <w:rFonts w:asciiTheme="minorHAnsi" w:hAnsiTheme="minorHAnsi" w:cstheme="minorHAnsi"/>
        </w:rPr>
        <w:t>1.4</w:t>
      </w:r>
      <w:r w:rsidR="00D975F7" w:rsidRPr="00305365">
        <w:rPr>
          <w:rFonts w:asciiTheme="minorHAnsi" w:hAnsiTheme="minorHAnsi" w:cstheme="minorHAnsi"/>
        </w:rPr>
        <w:t xml:space="preserve"> percent in 202</w:t>
      </w:r>
      <w:r w:rsidR="00060B61" w:rsidRPr="00305365">
        <w:rPr>
          <w:rFonts w:asciiTheme="minorHAnsi" w:hAnsiTheme="minorHAnsi" w:cstheme="minorHAnsi"/>
        </w:rPr>
        <w:t xml:space="preserve">4 </w:t>
      </w:r>
      <w:r w:rsidR="00C6384E" w:rsidRPr="00305365">
        <w:rPr>
          <w:rFonts w:asciiTheme="minorHAnsi" w:hAnsiTheme="minorHAnsi" w:cstheme="minorHAnsi"/>
        </w:rPr>
        <w:t>and 1.</w:t>
      </w:r>
      <w:r w:rsidR="005537E5" w:rsidRPr="00305365">
        <w:rPr>
          <w:rFonts w:asciiTheme="minorHAnsi" w:hAnsiTheme="minorHAnsi" w:cstheme="minorHAnsi"/>
        </w:rPr>
        <w:t>5</w:t>
      </w:r>
      <w:r w:rsidR="00C6384E" w:rsidRPr="00305365">
        <w:rPr>
          <w:rFonts w:asciiTheme="minorHAnsi" w:hAnsiTheme="minorHAnsi" w:cstheme="minorHAnsi"/>
        </w:rPr>
        <w:t xml:space="preserve"> percent in 2025</w:t>
      </w:r>
      <w:r w:rsidR="000D5119" w:rsidRPr="00305365">
        <w:rPr>
          <w:rFonts w:asciiTheme="minorHAnsi" w:hAnsiTheme="minorHAnsi" w:cstheme="minorHAnsi"/>
        </w:rPr>
        <w:t xml:space="preserve"> (as we did in the July forecast)</w:t>
      </w:r>
      <w:r w:rsidR="00D166DB" w:rsidRPr="00305365">
        <w:rPr>
          <w:rFonts w:asciiTheme="minorHAnsi" w:hAnsiTheme="minorHAnsi" w:cstheme="minorHAnsi"/>
        </w:rPr>
        <w:t xml:space="preserve">. </w:t>
      </w:r>
      <w:r w:rsidR="00550958" w:rsidRPr="00305365">
        <w:rPr>
          <w:rFonts w:asciiTheme="minorHAnsi" w:hAnsiTheme="minorHAnsi" w:cstheme="minorHAnsi"/>
        </w:rPr>
        <w:t>Our assumption is that</w:t>
      </w:r>
      <w:r w:rsidR="00D166DB" w:rsidRPr="00305365">
        <w:rPr>
          <w:rFonts w:asciiTheme="minorHAnsi" w:hAnsiTheme="minorHAnsi" w:cstheme="minorHAnsi"/>
        </w:rPr>
        <w:t xml:space="preserve"> world trade </w:t>
      </w:r>
      <w:r w:rsidR="00E718CD" w:rsidRPr="00305365">
        <w:rPr>
          <w:rFonts w:asciiTheme="minorHAnsi" w:hAnsiTheme="minorHAnsi" w:cstheme="minorHAnsi"/>
        </w:rPr>
        <w:t>will grow by</w:t>
      </w:r>
      <w:r w:rsidR="00D166DB" w:rsidRPr="00305365">
        <w:rPr>
          <w:rFonts w:asciiTheme="minorHAnsi" w:hAnsiTheme="minorHAnsi" w:cstheme="minorHAnsi"/>
        </w:rPr>
        <w:t xml:space="preserve"> </w:t>
      </w:r>
      <w:r w:rsidR="00B85FD7" w:rsidRPr="00305365">
        <w:rPr>
          <w:rFonts w:asciiTheme="minorHAnsi" w:hAnsiTheme="minorHAnsi" w:cstheme="minorHAnsi"/>
        </w:rPr>
        <w:t>3.1</w:t>
      </w:r>
      <w:r w:rsidR="00D166DB" w:rsidRPr="00305365">
        <w:rPr>
          <w:rFonts w:asciiTheme="minorHAnsi" w:hAnsiTheme="minorHAnsi" w:cstheme="minorHAnsi"/>
        </w:rPr>
        <w:t xml:space="preserve"> percent in 2024</w:t>
      </w:r>
      <w:r w:rsidR="00060B61" w:rsidRPr="00305365">
        <w:rPr>
          <w:rFonts w:asciiTheme="minorHAnsi" w:hAnsiTheme="minorHAnsi" w:cstheme="minorHAnsi"/>
        </w:rPr>
        <w:t xml:space="preserve"> </w:t>
      </w:r>
      <w:r w:rsidR="005537E5" w:rsidRPr="00305365">
        <w:rPr>
          <w:rFonts w:asciiTheme="minorHAnsi" w:hAnsiTheme="minorHAnsi" w:cstheme="minorHAnsi"/>
        </w:rPr>
        <w:t>(</w:t>
      </w:r>
      <w:r w:rsidR="00060B61" w:rsidRPr="00305365">
        <w:rPr>
          <w:rFonts w:asciiTheme="minorHAnsi" w:hAnsiTheme="minorHAnsi" w:cstheme="minorHAnsi"/>
        </w:rPr>
        <w:t>compared with 3.</w:t>
      </w:r>
      <w:r w:rsidR="00D9026F" w:rsidRPr="00305365">
        <w:rPr>
          <w:rFonts w:asciiTheme="minorHAnsi" w:hAnsiTheme="minorHAnsi" w:cstheme="minorHAnsi"/>
        </w:rPr>
        <w:t>0</w:t>
      </w:r>
      <w:r w:rsidR="00060B61" w:rsidRPr="00305365">
        <w:rPr>
          <w:rFonts w:asciiTheme="minorHAnsi" w:hAnsiTheme="minorHAnsi" w:cstheme="minorHAnsi"/>
        </w:rPr>
        <w:t xml:space="preserve"> percent in the </w:t>
      </w:r>
      <w:r w:rsidR="00D9026F" w:rsidRPr="00305365">
        <w:rPr>
          <w:rFonts w:asciiTheme="minorHAnsi" w:hAnsiTheme="minorHAnsi" w:cstheme="minorHAnsi"/>
        </w:rPr>
        <w:t>July</w:t>
      </w:r>
      <w:r w:rsidR="00060B61" w:rsidRPr="00305365">
        <w:rPr>
          <w:rFonts w:asciiTheme="minorHAnsi" w:hAnsiTheme="minorHAnsi" w:cstheme="minorHAnsi"/>
        </w:rPr>
        <w:t xml:space="preserve"> forecast)</w:t>
      </w:r>
      <w:r w:rsidR="00C6384E" w:rsidRPr="00305365">
        <w:rPr>
          <w:rFonts w:asciiTheme="minorHAnsi" w:hAnsiTheme="minorHAnsi" w:cstheme="minorHAnsi"/>
        </w:rPr>
        <w:t xml:space="preserve">, and </w:t>
      </w:r>
      <w:r w:rsidR="00E718CD" w:rsidRPr="00305365">
        <w:rPr>
          <w:rFonts w:asciiTheme="minorHAnsi" w:hAnsiTheme="minorHAnsi" w:cstheme="minorHAnsi"/>
        </w:rPr>
        <w:t xml:space="preserve">by </w:t>
      </w:r>
      <w:r w:rsidR="00B85FD7" w:rsidRPr="00305365">
        <w:rPr>
          <w:rFonts w:asciiTheme="minorHAnsi" w:hAnsiTheme="minorHAnsi" w:cstheme="minorHAnsi"/>
          <w:rtl/>
        </w:rPr>
        <w:t>3</w:t>
      </w:r>
      <w:r w:rsidR="00D9026F" w:rsidRPr="00305365">
        <w:rPr>
          <w:rFonts w:asciiTheme="minorHAnsi" w:hAnsiTheme="minorHAnsi" w:cstheme="minorHAnsi"/>
          <w:rtl/>
        </w:rPr>
        <w:t>.4</w:t>
      </w:r>
      <w:r w:rsidR="00C6384E" w:rsidRPr="00305365">
        <w:rPr>
          <w:rFonts w:asciiTheme="minorHAnsi" w:hAnsiTheme="minorHAnsi" w:cstheme="minorHAnsi"/>
        </w:rPr>
        <w:t xml:space="preserve"> percent in 2025</w:t>
      </w:r>
      <w:r w:rsidR="00060B61" w:rsidRPr="00305365">
        <w:rPr>
          <w:rFonts w:asciiTheme="minorHAnsi" w:hAnsiTheme="minorHAnsi" w:cstheme="minorHAnsi"/>
        </w:rPr>
        <w:t xml:space="preserve"> (compared with 3.</w:t>
      </w:r>
      <w:r w:rsidR="00D9026F" w:rsidRPr="00305365">
        <w:rPr>
          <w:rFonts w:asciiTheme="minorHAnsi" w:hAnsiTheme="minorHAnsi" w:cstheme="minorHAnsi"/>
          <w:rtl/>
        </w:rPr>
        <w:t>3</w:t>
      </w:r>
      <w:r w:rsidR="00060B61" w:rsidRPr="00305365">
        <w:rPr>
          <w:rFonts w:asciiTheme="minorHAnsi" w:hAnsiTheme="minorHAnsi" w:cstheme="minorHAnsi"/>
        </w:rPr>
        <w:t xml:space="preserve"> percent in the </w:t>
      </w:r>
      <w:r w:rsidR="00D9026F" w:rsidRPr="00305365">
        <w:rPr>
          <w:rFonts w:asciiTheme="minorHAnsi" w:hAnsiTheme="minorHAnsi" w:cstheme="minorHAnsi"/>
        </w:rPr>
        <w:t>July</w:t>
      </w:r>
      <w:r w:rsidR="00060B61" w:rsidRPr="00305365">
        <w:rPr>
          <w:rFonts w:asciiTheme="minorHAnsi" w:hAnsiTheme="minorHAnsi" w:cstheme="minorHAnsi"/>
        </w:rPr>
        <w:t xml:space="preserve"> forecast)</w:t>
      </w:r>
      <w:r w:rsidR="00D166DB" w:rsidRPr="00305365">
        <w:rPr>
          <w:rFonts w:asciiTheme="minorHAnsi" w:hAnsiTheme="minorHAnsi" w:cstheme="minorHAnsi"/>
        </w:rPr>
        <w:t>.</w:t>
      </w:r>
      <w:r w:rsidR="005A37A5" w:rsidRPr="00305365">
        <w:rPr>
          <w:rFonts w:asciiTheme="minorHAnsi" w:hAnsiTheme="minorHAnsi" w:cstheme="minorHAnsi"/>
        </w:rPr>
        <w:t xml:space="preserve"> </w:t>
      </w:r>
      <w:r w:rsidR="005537E5" w:rsidRPr="00305365">
        <w:rPr>
          <w:rFonts w:asciiTheme="minorHAnsi" w:hAnsiTheme="minorHAnsi" w:cstheme="minorHAnsi"/>
        </w:rPr>
        <w:t>Investment houses’</w:t>
      </w:r>
      <w:r w:rsidR="005A37A5" w:rsidRPr="00305365">
        <w:rPr>
          <w:rFonts w:asciiTheme="minorHAnsi" w:hAnsiTheme="minorHAnsi" w:cstheme="minorHAnsi"/>
        </w:rPr>
        <w:t xml:space="preserve"> inflation forecasts for the advanced economies </w:t>
      </w:r>
      <w:r w:rsidR="00060B61" w:rsidRPr="00305365">
        <w:rPr>
          <w:rFonts w:asciiTheme="minorHAnsi" w:hAnsiTheme="minorHAnsi" w:cstheme="minorHAnsi"/>
        </w:rPr>
        <w:t xml:space="preserve">for 2024 </w:t>
      </w:r>
      <w:r w:rsidR="00550958" w:rsidRPr="00305365">
        <w:rPr>
          <w:rFonts w:asciiTheme="minorHAnsi" w:hAnsiTheme="minorHAnsi" w:cstheme="minorHAnsi"/>
        </w:rPr>
        <w:t>were revised</w:t>
      </w:r>
      <w:r w:rsidR="00060B61" w:rsidRPr="00305365">
        <w:rPr>
          <w:rFonts w:asciiTheme="minorHAnsi" w:hAnsiTheme="minorHAnsi" w:cstheme="minorHAnsi"/>
        </w:rPr>
        <w:t xml:space="preserve"> </w:t>
      </w:r>
      <w:r w:rsidR="00D9026F" w:rsidRPr="00305365">
        <w:rPr>
          <w:rFonts w:asciiTheme="minorHAnsi" w:hAnsiTheme="minorHAnsi" w:cstheme="minorHAnsi"/>
        </w:rPr>
        <w:t>slightly downward,</w:t>
      </w:r>
      <w:r w:rsidR="005537E5" w:rsidRPr="00305365">
        <w:rPr>
          <w:rFonts w:asciiTheme="minorHAnsi" w:hAnsiTheme="minorHAnsi" w:cstheme="minorHAnsi"/>
        </w:rPr>
        <w:t xml:space="preserve"> </w:t>
      </w:r>
      <w:r w:rsidR="00060B61" w:rsidRPr="00305365">
        <w:rPr>
          <w:rFonts w:asciiTheme="minorHAnsi" w:hAnsiTheme="minorHAnsi" w:cstheme="minorHAnsi"/>
        </w:rPr>
        <w:t>to 2.</w:t>
      </w:r>
      <w:r w:rsidR="00D9026F" w:rsidRPr="00305365">
        <w:rPr>
          <w:rFonts w:asciiTheme="minorHAnsi" w:hAnsiTheme="minorHAnsi" w:cstheme="minorHAnsi"/>
        </w:rPr>
        <w:t>4</w:t>
      </w:r>
      <w:r w:rsidR="00060B61" w:rsidRPr="00305365">
        <w:rPr>
          <w:rFonts w:asciiTheme="minorHAnsi" w:hAnsiTheme="minorHAnsi" w:cstheme="minorHAnsi"/>
        </w:rPr>
        <w:t xml:space="preserve"> percent (compared with </w:t>
      </w:r>
      <w:r w:rsidR="00D166DB" w:rsidRPr="00305365">
        <w:rPr>
          <w:rFonts w:asciiTheme="minorHAnsi" w:hAnsiTheme="minorHAnsi" w:cstheme="minorHAnsi"/>
        </w:rPr>
        <w:t>2.</w:t>
      </w:r>
      <w:r w:rsidR="00D9026F" w:rsidRPr="00305365">
        <w:rPr>
          <w:rFonts w:asciiTheme="minorHAnsi" w:hAnsiTheme="minorHAnsi" w:cstheme="minorHAnsi"/>
        </w:rPr>
        <w:t>6</w:t>
      </w:r>
      <w:r w:rsidR="00D166DB" w:rsidRPr="00305365">
        <w:rPr>
          <w:rFonts w:asciiTheme="minorHAnsi" w:hAnsiTheme="minorHAnsi" w:cstheme="minorHAnsi"/>
        </w:rPr>
        <w:t xml:space="preserve"> percent in </w:t>
      </w:r>
      <w:r w:rsidR="00550958" w:rsidRPr="00305365">
        <w:rPr>
          <w:rFonts w:asciiTheme="minorHAnsi" w:hAnsiTheme="minorHAnsi" w:cstheme="minorHAnsi"/>
        </w:rPr>
        <w:t xml:space="preserve">the </w:t>
      </w:r>
      <w:r w:rsidR="00D9026F" w:rsidRPr="00305365">
        <w:rPr>
          <w:rFonts w:asciiTheme="minorHAnsi" w:hAnsiTheme="minorHAnsi" w:cstheme="minorHAnsi"/>
        </w:rPr>
        <w:t>July</w:t>
      </w:r>
      <w:r w:rsidR="00550958" w:rsidRPr="00305365">
        <w:rPr>
          <w:rFonts w:asciiTheme="minorHAnsi" w:hAnsiTheme="minorHAnsi" w:cstheme="minorHAnsi"/>
        </w:rPr>
        <w:t xml:space="preserve"> for</w:t>
      </w:r>
      <w:r w:rsidR="00C6384E" w:rsidRPr="00305365">
        <w:rPr>
          <w:rFonts w:asciiTheme="minorHAnsi" w:hAnsiTheme="minorHAnsi" w:cstheme="minorHAnsi"/>
        </w:rPr>
        <w:t>ecast)</w:t>
      </w:r>
      <w:r w:rsidR="00060B61" w:rsidRPr="00305365">
        <w:rPr>
          <w:rFonts w:asciiTheme="minorHAnsi" w:hAnsiTheme="minorHAnsi" w:cstheme="minorHAnsi"/>
        </w:rPr>
        <w:t xml:space="preserve">, and the forecast for </w:t>
      </w:r>
      <w:r w:rsidR="00C6384E" w:rsidRPr="00305365">
        <w:rPr>
          <w:rFonts w:asciiTheme="minorHAnsi" w:hAnsiTheme="minorHAnsi" w:cstheme="minorHAnsi"/>
        </w:rPr>
        <w:t xml:space="preserve">2025 </w:t>
      </w:r>
      <w:r w:rsidR="00060B61" w:rsidRPr="00305365">
        <w:rPr>
          <w:rFonts w:asciiTheme="minorHAnsi" w:hAnsiTheme="minorHAnsi" w:cstheme="minorHAnsi"/>
        </w:rPr>
        <w:t>is</w:t>
      </w:r>
      <w:r w:rsidR="00C6384E" w:rsidRPr="00305365">
        <w:rPr>
          <w:rFonts w:asciiTheme="minorHAnsi" w:hAnsiTheme="minorHAnsi" w:cstheme="minorHAnsi"/>
        </w:rPr>
        <w:t xml:space="preserve"> 2.</w:t>
      </w:r>
      <w:r w:rsidR="005537E5" w:rsidRPr="00305365">
        <w:rPr>
          <w:rFonts w:asciiTheme="minorHAnsi" w:hAnsiTheme="minorHAnsi" w:cstheme="minorHAnsi"/>
        </w:rPr>
        <w:t>1</w:t>
      </w:r>
      <w:r w:rsidR="00C6384E" w:rsidRPr="00305365">
        <w:rPr>
          <w:rFonts w:asciiTheme="minorHAnsi" w:hAnsiTheme="minorHAnsi" w:cstheme="minorHAnsi"/>
        </w:rPr>
        <w:t xml:space="preserve"> percent</w:t>
      </w:r>
      <w:r w:rsidR="00060B61" w:rsidRPr="00305365">
        <w:rPr>
          <w:rFonts w:asciiTheme="minorHAnsi" w:hAnsiTheme="minorHAnsi" w:cstheme="minorHAnsi"/>
        </w:rPr>
        <w:t xml:space="preserve"> (</w:t>
      </w:r>
      <w:r w:rsidR="00D9026F" w:rsidRPr="00305365">
        <w:rPr>
          <w:rFonts w:asciiTheme="minorHAnsi" w:hAnsiTheme="minorHAnsi" w:cstheme="minorHAnsi"/>
        </w:rPr>
        <w:t>similar to the July</w:t>
      </w:r>
      <w:r w:rsidR="00060B61" w:rsidRPr="00305365">
        <w:rPr>
          <w:rFonts w:asciiTheme="minorHAnsi" w:hAnsiTheme="minorHAnsi" w:cstheme="minorHAnsi"/>
        </w:rPr>
        <w:t xml:space="preserve"> forecast)</w:t>
      </w:r>
      <w:r w:rsidR="00C6384E" w:rsidRPr="00305365">
        <w:rPr>
          <w:rFonts w:asciiTheme="minorHAnsi" w:hAnsiTheme="minorHAnsi" w:cstheme="minorHAnsi"/>
        </w:rPr>
        <w:t xml:space="preserve">. </w:t>
      </w:r>
      <w:r w:rsidR="00D166DB" w:rsidRPr="00305365">
        <w:rPr>
          <w:rFonts w:asciiTheme="minorHAnsi" w:hAnsiTheme="minorHAnsi" w:cstheme="minorHAnsi"/>
        </w:rPr>
        <w:t xml:space="preserve">Investment houses’ forecasts of </w:t>
      </w:r>
      <w:r w:rsidR="00550958" w:rsidRPr="00305365">
        <w:rPr>
          <w:rFonts w:asciiTheme="minorHAnsi" w:hAnsiTheme="minorHAnsi" w:cstheme="minorHAnsi"/>
        </w:rPr>
        <w:t xml:space="preserve">the </w:t>
      </w:r>
      <w:r w:rsidR="00D166DB" w:rsidRPr="00305365">
        <w:rPr>
          <w:rFonts w:asciiTheme="minorHAnsi" w:hAnsiTheme="minorHAnsi" w:cstheme="minorHAnsi"/>
        </w:rPr>
        <w:t xml:space="preserve">average </w:t>
      </w:r>
      <w:r w:rsidR="00550958" w:rsidRPr="00305365">
        <w:rPr>
          <w:rFonts w:asciiTheme="minorHAnsi" w:hAnsiTheme="minorHAnsi" w:cstheme="minorHAnsi"/>
        </w:rPr>
        <w:t>interest rate</w:t>
      </w:r>
      <w:r w:rsidR="00D166DB" w:rsidRPr="00305365">
        <w:rPr>
          <w:rFonts w:asciiTheme="minorHAnsi" w:hAnsiTheme="minorHAnsi" w:cstheme="minorHAnsi"/>
        </w:rPr>
        <w:t xml:space="preserve"> in the advanced economies </w:t>
      </w:r>
      <w:r w:rsidR="00060B61" w:rsidRPr="00305365">
        <w:rPr>
          <w:rFonts w:asciiTheme="minorHAnsi" w:hAnsiTheme="minorHAnsi" w:cstheme="minorHAnsi"/>
        </w:rPr>
        <w:t>were</w:t>
      </w:r>
      <w:r w:rsidR="005537E5" w:rsidRPr="00305365">
        <w:rPr>
          <w:rFonts w:asciiTheme="minorHAnsi" w:hAnsiTheme="minorHAnsi" w:cstheme="minorHAnsi"/>
        </w:rPr>
        <w:t xml:space="preserve"> also revised </w:t>
      </w:r>
      <w:r w:rsidR="00D9026F" w:rsidRPr="00305365">
        <w:rPr>
          <w:rFonts w:asciiTheme="minorHAnsi" w:hAnsiTheme="minorHAnsi" w:cstheme="minorHAnsi"/>
        </w:rPr>
        <w:t>down</w:t>
      </w:r>
      <w:r w:rsidR="005537E5" w:rsidRPr="00305365">
        <w:rPr>
          <w:rFonts w:asciiTheme="minorHAnsi" w:hAnsiTheme="minorHAnsi" w:cstheme="minorHAnsi"/>
        </w:rPr>
        <w:t>ward</w:t>
      </w:r>
      <w:r w:rsidR="00060B61" w:rsidRPr="00305365">
        <w:rPr>
          <w:rFonts w:asciiTheme="minorHAnsi" w:hAnsiTheme="minorHAnsi" w:cstheme="minorHAnsi"/>
        </w:rPr>
        <w:t xml:space="preserve">, to </w:t>
      </w:r>
      <w:r w:rsidR="00D9026F" w:rsidRPr="00305365">
        <w:rPr>
          <w:rFonts w:asciiTheme="minorHAnsi" w:hAnsiTheme="minorHAnsi" w:cstheme="minorHAnsi"/>
        </w:rPr>
        <w:t>3.9</w:t>
      </w:r>
      <w:r w:rsidR="00D166DB" w:rsidRPr="00305365">
        <w:rPr>
          <w:rFonts w:asciiTheme="minorHAnsi" w:hAnsiTheme="minorHAnsi" w:cstheme="minorHAnsi"/>
        </w:rPr>
        <w:t xml:space="preserve"> percent at the end of 2024 (</w:t>
      </w:r>
      <w:r w:rsidR="00060B61" w:rsidRPr="00305365">
        <w:rPr>
          <w:rFonts w:asciiTheme="minorHAnsi" w:hAnsiTheme="minorHAnsi" w:cstheme="minorHAnsi"/>
        </w:rPr>
        <w:t xml:space="preserve">compared to </w:t>
      </w:r>
      <w:r w:rsidR="00D9026F" w:rsidRPr="00305365">
        <w:rPr>
          <w:rFonts w:asciiTheme="minorHAnsi" w:hAnsiTheme="minorHAnsi" w:cstheme="minorHAnsi"/>
        </w:rPr>
        <w:t>4.1</w:t>
      </w:r>
      <w:r w:rsidR="00060B61" w:rsidRPr="00305365">
        <w:rPr>
          <w:rFonts w:asciiTheme="minorHAnsi" w:hAnsiTheme="minorHAnsi" w:cstheme="minorHAnsi"/>
        </w:rPr>
        <w:t xml:space="preserve"> percent in </w:t>
      </w:r>
      <w:r w:rsidR="00550958" w:rsidRPr="00305365">
        <w:rPr>
          <w:rFonts w:asciiTheme="minorHAnsi" w:hAnsiTheme="minorHAnsi" w:cstheme="minorHAnsi"/>
        </w:rPr>
        <w:t xml:space="preserve">the </w:t>
      </w:r>
      <w:r w:rsidR="00D9026F" w:rsidRPr="00305365">
        <w:rPr>
          <w:rFonts w:asciiTheme="minorHAnsi" w:hAnsiTheme="minorHAnsi" w:cstheme="minorHAnsi"/>
        </w:rPr>
        <w:t>July</w:t>
      </w:r>
      <w:r w:rsidR="00D166DB" w:rsidRPr="00305365">
        <w:rPr>
          <w:rFonts w:asciiTheme="minorHAnsi" w:hAnsiTheme="minorHAnsi" w:cstheme="minorHAnsi"/>
        </w:rPr>
        <w:t xml:space="preserve"> forecast)</w:t>
      </w:r>
      <w:r w:rsidR="00C6384E" w:rsidRPr="00305365">
        <w:rPr>
          <w:rFonts w:asciiTheme="minorHAnsi" w:hAnsiTheme="minorHAnsi" w:cstheme="minorHAnsi"/>
        </w:rPr>
        <w:t xml:space="preserve"> and </w:t>
      </w:r>
      <w:r w:rsidR="00D9026F" w:rsidRPr="00305365">
        <w:rPr>
          <w:rFonts w:asciiTheme="minorHAnsi" w:hAnsiTheme="minorHAnsi" w:cstheme="minorHAnsi"/>
        </w:rPr>
        <w:t>2.9</w:t>
      </w:r>
      <w:r w:rsidR="00C6384E" w:rsidRPr="00305365">
        <w:rPr>
          <w:rFonts w:asciiTheme="minorHAnsi" w:hAnsiTheme="minorHAnsi" w:cstheme="minorHAnsi"/>
        </w:rPr>
        <w:t xml:space="preserve"> percent at the end of 2025</w:t>
      </w:r>
      <w:r w:rsidR="00060B61" w:rsidRPr="00305365">
        <w:rPr>
          <w:rFonts w:asciiTheme="minorHAnsi" w:hAnsiTheme="minorHAnsi" w:cstheme="minorHAnsi"/>
        </w:rPr>
        <w:t xml:space="preserve"> (compared to 3.</w:t>
      </w:r>
      <w:r w:rsidR="00D9026F" w:rsidRPr="00305365">
        <w:rPr>
          <w:rFonts w:asciiTheme="minorHAnsi" w:hAnsiTheme="minorHAnsi" w:cstheme="minorHAnsi"/>
        </w:rPr>
        <w:t>2</w:t>
      </w:r>
      <w:r w:rsidR="00060B61" w:rsidRPr="00305365">
        <w:rPr>
          <w:rFonts w:asciiTheme="minorHAnsi" w:hAnsiTheme="minorHAnsi" w:cstheme="minorHAnsi"/>
        </w:rPr>
        <w:t xml:space="preserve"> percent in the </w:t>
      </w:r>
      <w:r w:rsidR="00D9026F" w:rsidRPr="00305365">
        <w:rPr>
          <w:rFonts w:asciiTheme="minorHAnsi" w:hAnsiTheme="minorHAnsi" w:cstheme="minorHAnsi"/>
        </w:rPr>
        <w:t>July</w:t>
      </w:r>
      <w:r w:rsidR="00060B61" w:rsidRPr="00305365">
        <w:rPr>
          <w:rFonts w:asciiTheme="minorHAnsi" w:hAnsiTheme="minorHAnsi" w:cstheme="minorHAnsi"/>
        </w:rPr>
        <w:t xml:space="preserve"> forecast)</w:t>
      </w:r>
      <w:r w:rsidR="00D166DB" w:rsidRPr="00305365">
        <w:rPr>
          <w:rFonts w:asciiTheme="minorHAnsi" w:hAnsiTheme="minorHAnsi" w:cstheme="minorHAnsi"/>
        </w:rPr>
        <w:t>.</w:t>
      </w:r>
      <w:r w:rsidR="00060B61" w:rsidRPr="00305365">
        <w:rPr>
          <w:rFonts w:asciiTheme="minorHAnsi" w:hAnsiTheme="minorHAnsi" w:cstheme="minorHAnsi"/>
        </w:rPr>
        <w:t xml:space="preserve"> T</w:t>
      </w:r>
      <w:r w:rsidR="008F34C7" w:rsidRPr="00305365">
        <w:rPr>
          <w:rFonts w:asciiTheme="minorHAnsi" w:hAnsiTheme="minorHAnsi" w:cstheme="minorHAnsi"/>
        </w:rPr>
        <w:t xml:space="preserve">he price of Brent crude oil </w:t>
      </w:r>
      <w:r w:rsidR="00D9026F" w:rsidRPr="00305365">
        <w:rPr>
          <w:rFonts w:asciiTheme="minorHAnsi" w:hAnsiTheme="minorHAnsi" w:cstheme="minorHAnsi"/>
        </w:rPr>
        <w:t xml:space="preserve">was volatile, and </w:t>
      </w:r>
      <w:r w:rsidR="005537E5" w:rsidRPr="00305365">
        <w:rPr>
          <w:rFonts w:asciiTheme="minorHAnsi" w:hAnsiTheme="minorHAnsi" w:cstheme="minorHAnsi"/>
        </w:rPr>
        <w:t>declined</w:t>
      </w:r>
      <w:r w:rsidR="00060B61" w:rsidRPr="00305365">
        <w:rPr>
          <w:rFonts w:asciiTheme="minorHAnsi" w:hAnsiTheme="minorHAnsi" w:cstheme="minorHAnsi"/>
        </w:rPr>
        <w:t xml:space="preserve"> to </w:t>
      </w:r>
      <w:r w:rsidR="00D9026F" w:rsidRPr="00305365">
        <w:rPr>
          <w:rFonts w:asciiTheme="minorHAnsi" w:hAnsiTheme="minorHAnsi" w:cstheme="minorHAnsi"/>
        </w:rPr>
        <w:t xml:space="preserve">about </w:t>
      </w:r>
      <w:r w:rsidR="00060B61" w:rsidRPr="00305365">
        <w:rPr>
          <w:rFonts w:asciiTheme="minorHAnsi" w:hAnsiTheme="minorHAnsi" w:cstheme="minorHAnsi"/>
        </w:rPr>
        <w:t>$</w:t>
      </w:r>
      <w:r w:rsidR="00595042" w:rsidRPr="00305365">
        <w:rPr>
          <w:rFonts w:asciiTheme="minorHAnsi" w:hAnsiTheme="minorHAnsi" w:cstheme="minorHAnsi"/>
          <w:rtl/>
        </w:rPr>
        <w:t>77</w:t>
      </w:r>
      <w:r w:rsidR="00D9026F" w:rsidRPr="00305365">
        <w:rPr>
          <w:rFonts w:asciiTheme="minorHAnsi" w:hAnsiTheme="minorHAnsi" w:cstheme="minorHAnsi"/>
        </w:rPr>
        <w:t xml:space="preserve"> </w:t>
      </w:r>
      <w:r w:rsidR="00060B61" w:rsidRPr="00305365">
        <w:rPr>
          <w:rFonts w:asciiTheme="minorHAnsi" w:hAnsiTheme="minorHAnsi" w:cstheme="minorHAnsi"/>
        </w:rPr>
        <w:t xml:space="preserve">per barrel, compared with </w:t>
      </w:r>
      <w:r w:rsidR="00C6384E" w:rsidRPr="00305365">
        <w:rPr>
          <w:rFonts w:asciiTheme="minorHAnsi" w:hAnsiTheme="minorHAnsi" w:cstheme="minorHAnsi"/>
        </w:rPr>
        <w:t>around</w:t>
      </w:r>
      <w:r w:rsidR="008F34C7" w:rsidRPr="00305365">
        <w:rPr>
          <w:rFonts w:asciiTheme="minorHAnsi" w:hAnsiTheme="minorHAnsi" w:cstheme="minorHAnsi"/>
        </w:rPr>
        <w:t xml:space="preserve"> $</w:t>
      </w:r>
      <w:r w:rsidR="00D9026F" w:rsidRPr="00305365">
        <w:rPr>
          <w:rFonts w:asciiTheme="minorHAnsi" w:hAnsiTheme="minorHAnsi" w:cstheme="minorHAnsi"/>
        </w:rPr>
        <w:t>85</w:t>
      </w:r>
      <w:r w:rsidR="00060B61" w:rsidRPr="00305365">
        <w:rPr>
          <w:rFonts w:asciiTheme="minorHAnsi" w:hAnsiTheme="minorHAnsi" w:cstheme="minorHAnsi"/>
        </w:rPr>
        <w:t xml:space="preserve"> at the time of the </w:t>
      </w:r>
      <w:r w:rsidR="00D9026F" w:rsidRPr="00305365">
        <w:rPr>
          <w:rFonts w:asciiTheme="minorHAnsi" w:hAnsiTheme="minorHAnsi" w:cstheme="minorHAnsi"/>
        </w:rPr>
        <w:t>July</w:t>
      </w:r>
      <w:r w:rsidR="00060B61" w:rsidRPr="00305365">
        <w:rPr>
          <w:rFonts w:asciiTheme="minorHAnsi" w:hAnsiTheme="minorHAnsi" w:cstheme="minorHAnsi"/>
        </w:rPr>
        <w:t xml:space="preserve"> forecast</w:t>
      </w:r>
      <w:r w:rsidR="00323260" w:rsidRPr="00305365">
        <w:rPr>
          <w:rFonts w:asciiTheme="minorHAnsi" w:hAnsiTheme="minorHAnsi" w:cstheme="minorHAnsi"/>
        </w:rPr>
        <w:t>.</w:t>
      </w:r>
    </w:p>
    <w:p w:rsidR="00D52059" w:rsidRPr="00305365" w:rsidRDefault="00D52059" w:rsidP="00D52059">
      <w:pPr>
        <w:bidi w:val="0"/>
        <w:jc w:val="both"/>
        <w:rPr>
          <w:rFonts w:asciiTheme="minorHAnsi" w:hAnsiTheme="minorHAnsi" w:cstheme="minorHAnsi"/>
        </w:rPr>
      </w:pPr>
    </w:p>
    <w:p w:rsidR="00A21D01" w:rsidRPr="00305365" w:rsidRDefault="00A21D01" w:rsidP="0087184F">
      <w:pPr>
        <w:numPr>
          <w:ilvl w:val="0"/>
          <w:numId w:val="9"/>
        </w:numPr>
        <w:bidi w:val="0"/>
        <w:spacing w:line="360" w:lineRule="auto"/>
        <w:ind w:left="357" w:hanging="357"/>
        <w:jc w:val="both"/>
        <w:rPr>
          <w:rFonts w:asciiTheme="minorHAnsi" w:hAnsiTheme="minorHAnsi" w:cstheme="minorHAnsi"/>
          <w:b/>
          <w:bCs/>
        </w:rPr>
      </w:pPr>
      <w:r w:rsidRPr="00305365">
        <w:rPr>
          <w:rFonts w:asciiTheme="minorHAnsi" w:hAnsiTheme="minorHAnsi" w:cstheme="minorHAnsi"/>
          <w:b/>
          <w:bCs/>
        </w:rPr>
        <w:t>Real activity in Israel</w:t>
      </w:r>
    </w:p>
    <w:p w:rsidR="00F1274A" w:rsidRPr="00305365" w:rsidRDefault="00323260" w:rsidP="00D9026F">
      <w:pPr>
        <w:bidi w:val="0"/>
        <w:jc w:val="both"/>
        <w:rPr>
          <w:rFonts w:asciiTheme="minorHAnsi" w:hAnsiTheme="minorHAnsi" w:cstheme="minorHAnsi"/>
        </w:rPr>
      </w:pPr>
      <w:r w:rsidRPr="00305365">
        <w:rPr>
          <w:rFonts w:asciiTheme="minorHAnsi" w:hAnsiTheme="minorHAnsi" w:cstheme="minorHAnsi"/>
          <w:b/>
          <w:bCs/>
        </w:rPr>
        <w:t xml:space="preserve">GDP is expected to grow by </w:t>
      </w:r>
      <w:r w:rsidR="00D9026F" w:rsidRPr="00305365">
        <w:rPr>
          <w:rFonts w:asciiTheme="minorHAnsi" w:hAnsiTheme="minorHAnsi" w:cstheme="minorHAnsi"/>
          <w:b/>
          <w:bCs/>
        </w:rPr>
        <w:t>0</w:t>
      </w:r>
      <w:r w:rsidR="005537E5" w:rsidRPr="00305365">
        <w:rPr>
          <w:rFonts w:asciiTheme="minorHAnsi" w:hAnsiTheme="minorHAnsi" w:cstheme="minorHAnsi"/>
          <w:b/>
          <w:bCs/>
        </w:rPr>
        <w:t>.5</w:t>
      </w:r>
      <w:r w:rsidRPr="00305365">
        <w:rPr>
          <w:rFonts w:asciiTheme="minorHAnsi" w:hAnsiTheme="minorHAnsi" w:cstheme="minorHAnsi"/>
          <w:b/>
          <w:bCs/>
        </w:rPr>
        <w:t xml:space="preserve"> percent in 2024 </w:t>
      </w:r>
      <w:r w:rsidR="000003FE" w:rsidRPr="00305365">
        <w:rPr>
          <w:rFonts w:asciiTheme="minorHAnsi" w:hAnsiTheme="minorHAnsi" w:cstheme="minorHAnsi"/>
          <w:b/>
          <w:bCs/>
        </w:rPr>
        <w:t xml:space="preserve">and by </w:t>
      </w:r>
      <w:r w:rsidR="00D9026F" w:rsidRPr="00305365">
        <w:rPr>
          <w:rFonts w:asciiTheme="minorHAnsi" w:hAnsiTheme="minorHAnsi" w:cstheme="minorHAnsi"/>
          <w:b/>
          <w:bCs/>
        </w:rPr>
        <w:t>3.8</w:t>
      </w:r>
      <w:r w:rsidR="000003FE" w:rsidRPr="00305365">
        <w:rPr>
          <w:rFonts w:asciiTheme="minorHAnsi" w:hAnsiTheme="minorHAnsi" w:cstheme="minorHAnsi"/>
          <w:b/>
          <w:bCs/>
        </w:rPr>
        <w:t xml:space="preserve"> percent in 2025</w:t>
      </w:r>
      <w:r w:rsidR="000003FE" w:rsidRPr="00305365">
        <w:rPr>
          <w:rFonts w:asciiTheme="minorHAnsi" w:hAnsiTheme="minorHAnsi" w:cstheme="minorHAnsi"/>
        </w:rPr>
        <w:t xml:space="preserve"> </w:t>
      </w:r>
      <w:r w:rsidRPr="00305365">
        <w:rPr>
          <w:rFonts w:asciiTheme="minorHAnsi" w:hAnsiTheme="minorHAnsi" w:cstheme="minorHAnsi"/>
        </w:rPr>
        <w:t xml:space="preserve">(Table 1). </w:t>
      </w:r>
    </w:p>
    <w:p w:rsidR="00F1274A" w:rsidRPr="00305365" w:rsidRDefault="00F1274A" w:rsidP="00F1274A">
      <w:pPr>
        <w:bidi w:val="0"/>
        <w:jc w:val="both"/>
        <w:rPr>
          <w:rFonts w:asciiTheme="minorHAnsi" w:hAnsiTheme="minorHAnsi" w:cstheme="minorHAnsi"/>
        </w:rPr>
      </w:pPr>
    </w:p>
    <w:p w:rsidR="00955DCC" w:rsidRPr="00305365" w:rsidRDefault="00F1274A" w:rsidP="00C26FE7">
      <w:pPr>
        <w:bidi w:val="0"/>
        <w:jc w:val="both"/>
        <w:rPr>
          <w:rFonts w:asciiTheme="minorHAnsi" w:hAnsiTheme="minorHAnsi" w:cstheme="minorHAnsi"/>
        </w:rPr>
      </w:pPr>
      <w:r w:rsidRPr="00305365">
        <w:rPr>
          <w:rFonts w:asciiTheme="minorHAnsi" w:hAnsiTheme="minorHAnsi" w:cstheme="minorHAnsi"/>
        </w:rPr>
        <w:t xml:space="preserve">The forecast is based on the assumption that </w:t>
      </w:r>
      <w:r w:rsidR="008839C3" w:rsidRPr="00305365">
        <w:rPr>
          <w:rFonts w:asciiTheme="minorHAnsi" w:hAnsiTheme="minorHAnsi" w:cstheme="minorHAnsi"/>
        </w:rPr>
        <w:t>t</w:t>
      </w:r>
      <w:r w:rsidRPr="00305365">
        <w:rPr>
          <w:rFonts w:asciiTheme="minorHAnsi" w:hAnsiTheme="minorHAnsi" w:cstheme="minorHAnsi"/>
        </w:rPr>
        <w:t xml:space="preserve">he war’s direct impact on the economy </w:t>
      </w:r>
      <w:r w:rsidR="005537E5" w:rsidRPr="00305365">
        <w:rPr>
          <w:rFonts w:asciiTheme="minorHAnsi" w:hAnsiTheme="minorHAnsi" w:cstheme="minorHAnsi"/>
        </w:rPr>
        <w:t xml:space="preserve">will continue </w:t>
      </w:r>
      <w:r w:rsidR="00D9026F" w:rsidRPr="00305365">
        <w:rPr>
          <w:rFonts w:asciiTheme="minorHAnsi" w:hAnsiTheme="minorHAnsi" w:cstheme="minorHAnsi"/>
        </w:rPr>
        <w:t>into early 2025</w:t>
      </w:r>
      <w:r w:rsidR="005537E5" w:rsidRPr="00305365">
        <w:rPr>
          <w:rFonts w:asciiTheme="minorHAnsi" w:hAnsiTheme="minorHAnsi" w:cstheme="minorHAnsi"/>
        </w:rPr>
        <w:t>.</w:t>
      </w:r>
      <w:r w:rsidR="00D9026F" w:rsidRPr="00305365">
        <w:rPr>
          <w:rFonts w:asciiTheme="minorHAnsi" w:hAnsiTheme="minorHAnsi" w:cstheme="minorHAnsi"/>
        </w:rPr>
        <w:t xml:space="preserve">  Thereafter, GDP will gradually converge to its prewar trend, but will remain below the </w:t>
      </w:r>
      <w:proofErr w:type="spellStart"/>
      <w:r w:rsidR="00D9026F" w:rsidRPr="00305365">
        <w:rPr>
          <w:rFonts w:asciiTheme="minorHAnsi" w:hAnsiTheme="minorHAnsi" w:cstheme="minorHAnsi"/>
        </w:rPr>
        <w:t>trendline</w:t>
      </w:r>
      <w:proofErr w:type="spellEnd"/>
      <w:r w:rsidR="00D9026F" w:rsidRPr="00305365">
        <w:rPr>
          <w:rFonts w:asciiTheme="minorHAnsi" w:hAnsiTheme="minorHAnsi" w:cstheme="minorHAnsi"/>
        </w:rPr>
        <w:t xml:space="preserve"> in the medium term.</w:t>
      </w:r>
      <w:r w:rsidR="005537E5" w:rsidRPr="00305365">
        <w:rPr>
          <w:rFonts w:asciiTheme="minorHAnsi" w:hAnsiTheme="minorHAnsi" w:cstheme="minorHAnsi"/>
        </w:rPr>
        <w:t xml:space="preserve">  Compar</w:t>
      </w:r>
      <w:r w:rsidR="00C26FE7" w:rsidRPr="00305365">
        <w:rPr>
          <w:rFonts w:asciiTheme="minorHAnsi" w:hAnsiTheme="minorHAnsi" w:cstheme="minorHAnsi"/>
        </w:rPr>
        <w:t>ed to the previous forecast in July</w:t>
      </w:r>
      <w:r w:rsidR="00955DCC" w:rsidRPr="00305365">
        <w:rPr>
          <w:rFonts w:asciiTheme="minorHAnsi" w:hAnsiTheme="minorHAnsi" w:cstheme="minorHAnsi"/>
        </w:rPr>
        <w:t>, the growth forecast was revised downward, mainly in view of</w:t>
      </w:r>
      <w:r w:rsidR="00C26FE7" w:rsidRPr="00305365">
        <w:rPr>
          <w:rFonts w:asciiTheme="minorHAnsi" w:hAnsiTheme="minorHAnsi" w:cstheme="minorHAnsi"/>
        </w:rPr>
        <w:t xml:space="preserve"> growth figures for the first half of 2024, which were lower than expected, and due to the effects of the recent security deterioration on economic activity</w:t>
      </w:r>
      <w:r w:rsidR="00955DCC" w:rsidRPr="00305365">
        <w:rPr>
          <w:rFonts w:asciiTheme="minorHAnsi" w:hAnsiTheme="minorHAnsi" w:cstheme="minorHAnsi"/>
        </w:rPr>
        <w:t xml:space="preserve">. </w:t>
      </w:r>
      <w:r w:rsidR="00C26FE7" w:rsidRPr="00305365">
        <w:rPr>
          <w:rFonts w:asciiTheme="minorHAnsi" w:hAnsiTheme="minorHAnsi" w:cstheme="minorHAnsi"/>
        </w:rPr>
        <w:t>The revision of the growth forecast for 2025 reflects more intense fighting in early 2025 (relative to the assessment in the July forecast) and a delay in the gradual recovery of economic activity to the second half of 2025.</w:t>
      </w:r>
    </w:p>
    <w:p w:rsidR="00955DCC" w:rsidRPr="00305365" w:rsidRDefault="00955DCC" w:rsidP="00955DCC">
      <w:pPr>
        <w:bidi w:val="0"/>
        <w:jc w:val="both"/>
        <w:rPr>
          <w:rFonts w:asciiTheme="minorHAnsi" w:hAnsiTheme="minorHAnsi" w:cstheme="minorHAnsi"/>
        </w:rPr>
      </w:pPr>
    </w:p>
    <w:p w:rsidR="0020285E" w:rsidRPr="00305365" w:rsidRDefault="00955DCC" w:rsidP="00A15315">
      <w:pPr>
        <w:bidi w:val="0"/>
        <w:jc w:val="both"/>
        <w:rPr>
          <w:rFonts w:asciiTheme="minorHAnsi" w:hAnsiTheme="minorHAnsi" w:cstheme="minorHAnsi"/>
        </w:rPr>
      </w:pPr>
      <w:r w:rsidRPr="00305365">
        <w:rPr>
          <w:rFonts w:asciiTheme="minorHAnsi" w:hAnsiTheme="minorHAnsi" w:cstheme="minorHAnsi"/>
        </w:rPr>
        <w:t xml:space="preserve">As long as the </w:t>
      </w:r>
      <w:r w:rsidR="00A15315" w:rsidRPr="00305365">
        <w:rPr>
          <w:rFonts w:asciiTheme="minorHAnsi" w:hAnsiTheme="minorHAnsi" w:cstheme="minorHAnsi"/>
        </w:rPr>
        <w:t>war</w:t>
      </w:r>
      <w:r w:rsidRPr="00305365">
        <w:rPr>
          <w:rFonts w:asciiTheme="minorHAnsi" w:hAnsiTheme="minorHAnsi" w:cstheme="minorHAnsi"/>
        </w:rPr>
        <w:t xml:space="preserve"> </w:t>
      </w:r>
      <w:r w:rsidR="00C26FE7" w:rsidRPr="00305365">
        <w:rPr>
          <w:rFonts w:asciiTheme="minorHAnsi" w:hAnsiTheme="minorHAnsi" w:cstheme="minorHAnsi"/>
        </w:rPr>
        <w:t>continues</w:t>
      </w:r>
      <w:r w:rsidRPr="00305365">
        <w:rPr>
          <w:rFonts w:asciiTheme="minorHAnsi" w:hAnsiTheme="minorHAnsi" w:cstheme="minorHAnsi"/>
        </w:rPr>
        <w:t xml:space="preserve">, GDP growth is expected to be impaired </w:t>
      </w:r>
      <w:r w:rsidR="00C26FE7" w:rsidRPr="00305365">
        <w:rPr>
          <w:rFonts w:asciiTheme="minorHAnsi" w:hAnsiTheme="minorHAnsi" w:cstheme="minorHAnsi"/>
        </w:rPr>
        <w:t>mainly</w:t>
      </w:r>
      <w:r w:rsidRPr="00305365">
        <w:rPr>
          <w:rFonts w:asciiTheme="minorHAnsi" w:hAnsiTheme="minorHAnsi" w:cstheme="minorHAnsi"/>
        </w:rPr>
        <w:t xml:space="preserve"> on the supply side</w:t>
      </w:r>
      <w:r w:rsidR="00C26FE7" w:rsidRPr="00305365">
        <w:rPr>
          <w:rFonts w:asciiTheme="minorHAnsi" w:hAnsiTheme="minorHAnsi" w:cstheme="minorHAnsi"/>
        </w:rPr>
        <w:t xml:space="preserve"> (with a more moderate impact</w:t>
      </w:r>
      <w:r w:rsidRPr="00305365">
        <w:rPr>
          <w:rFonts w:asciiTheme="minorHAnsi" w:hAnsiTheme="minorHAnsi" w:cstheme="minorHAnsi"/>
        </w:rPr>
        <w:t xml:space="preserve"> on the demand side</w:t>
      </w:r>
      <w:r w:rsidR="00C26FE7" w:rsidRPr="00305365">
        <w:rPr>
          <w:rFonts w:asciiTheme="minorHAnsi" w:hAnsiTheme="minorHAnsi" w:cstheme="minorHAnsi"/>
        </w:rPr>
        <w:t>)</w:t>
      </w:r>
      <w:r w:rsidRPr="00305365">
        <w:rPr>
          <w:rFonts w:asciiTheme="minorHAnsi" w:hAnsiTheme="minorHAnsi" w:cstheme="minorHAnsi"/>
        </w:rPr>
        <w:t xml:space="preserve">. </w:t>
      </w:r>
      <w:r w:rsidR="00C26FE7" w:rsidRPr="00305365">
        <w:rPr>
          <w:rFonts w:asciiTheme="minorHAnsi" w:hAnsiTheme="minorHAnsi" w:cstheme="minorHAnsi"/>
        </w:rPr>
        <w:t>W</w:t>
      </w:r>
      <w:r w:rsidRPr="00305365">
        <w:rPr>
          <w:rFonts w:asciiTheme="minorHAnsi" w:hAnsiTheme="minorHAnsi" w:cstheme="minorHAnsi"/>
        </w:rPr>
        <w:t xml:space="preserve">hile </w:t>
      </w:r>
      <w:r w:rsidR="000B4DDD" w:rsidRPr="00305365">
        <w:rPr>
          <w:rFonts w:asciiTheme="minorHAnsi" w:hAnsiTheme="minorHAnsi" w:cstheme="minorHAnsi"/>
        </w:rPr>
        <w:t>fewer</w:t>
      </w:r>
      <w:r w:rsidRPr="00305365">
        <w:rPr>
          <w:rFonts w:asciiTheme="minorHAnsi" w:hAnsiTheme="minorHAnsi" w:cstheme="minorHAnsi"/>
        </w:rPr>
        <w:t xml:space="preserve"> reserve soldiers </w:t>
      </w:r>
      <w:r w:rsidR="000B4DDD" w:rsidRPr="00305365">
        <w:rPr>
          <w:rFonts w:asciiTheme="minorHAnsi" w:hAnsiTheme="minorHAnsi" w:cstheme="minorHAnsi"/>
        </w:rPr>
        <w:t>are currently mobilized</w:t>
      </w:r>
      <w:r w:rsidRPr="00305365">
        <w:rPr>
          <w:rFonts w:asciiTheme="minorHAnsi" w:hAnsiTheme="minorHAnsi" w:cstheme="minorHAnsi"/>
        </w:rPr>
        <w:t xml:space="preserve"> than at the beginning of the war, </w:t>
      </w:r>
      <w:r w:rsidR="000B4DDD" w:rsidRPr="00305365">
        <w:rPr>
          <w:rFonts w:asciiTheme="minorHAnsi" w:hAnsiTheme="minorHAnsi" w:cstheme="minorHAnsi"/>
        </w:rPr>
        <w:t>reserve mobilization</w:t>
      </w:r>
      <w:r w:rsidRPr="00305365">
        <w:rPr>
          <w:rFonts w:asciiTheme="minorHAnsi" w:hAnsiTheme="minorHAnsi" w:cstheme="minorHAnsi"/>
        </w:rPr>
        <w:t xml:space="preserve"> continues to impair </w:t>
      </w:r>
      <w:r w:rsidRPr="00305365">
        <w:rPr>
          <w:rFonts w:asciiTheme="minorHAnsi" w:hAnsiTheme="minorHAnsi" w:cstheme="minorHAnsi"/>
        </w:rPr>
        <w:lastRenderedPageBreak/>
        <w:t xml:space="preserve">the supply of labor in all industries.  </w:t>
      </w:r>
      <w:r w:rsidR="000B4DDD" w:rsidRPr="00305365">
        <w:rPr>
          <w:rFonts w:asciiTheme="minorHAnsi" w:hAnsiTheme="minorHAnsi" w:cstheme="minorHAnsi"/>
        </w:rPr>
        <w:t>L</w:t>
      </w:r>
      <w:r w:rsidR="00887FE6" w:rsidRPr="00305365">
        <w:rPr>
          <w:rFonts w:asciiTheme="minorHAnsi" w:hAnsiTheme="minorHAnsi" w:cstheme="minorHAnsi"/>
        </w:rPr>
        <w:t xml:space="preserve">abor supply </w:t>
      </w:r>
      <w:r w:rsidR="000B4DDD" w:rsidRPr="00305365">
        <w:rPr>
          <w:rFonts w:asciiTheme="minorHAnsi" w:hAnsiTheme="minorHAnsi" w:cstheme="minorHAnsi"/>
        </w:rPr>
        <w:t xml:space="preserve">is a particular problem </w:t>
      </w:r>
      <w:r w:rsidRPr="00305365">
        <w:rPr>
          <w:rFonts w:asciiTheme="minorHAnsi" w:hAnsiTheme="minorHAnsi" w:cstheme="minorHAnsi"/>
        </w:rPr>
        <w:t xml:space="preserve">in the construction industry, due to the significant restrictions on the entry of Palestinian laborers from Judea and Samaria and the complete halt to the employment of laborers from Gaza.  </w:t>
      </w:r>
      <w:r w:rsidR="00C26FE7" w:rsidRPr="00305365">
        <w:rPr>
          <w:rFonts w:asciiTheme="minorHAnsi" w:hAnsiTheme="minorHAnsi" w:cstheme="minorHAnsi"/>
        </w:rPr>
        <w:t xml:space="preserve">In addition to the decline in the supply of labor, production capacity </w:t>
      </w:r>
      <w:r w:rsidR="0020285E" w:rsidRPr="00305365">
        <w:rPr>
          <w:rFonts w:asciiTheme="minorHAnsi" w:hAnsiTheme="minorHAnsi" w:cstheme="minorHAnsi"/>
        </w:rPr>
        <w:t xml:space="preserve">in the confrontation areas and in regions that are under threat has been impaired </w:t>
      </w:r>
      <w:r w:rsidR="00C26FE7" w:rsidRPr="00305365">
        <w:rPr>
          <w:rFonts w:asciiTheme="minorHAnsi" w:hAnsiTheme="minorHAnsi" w:cstheme="minorHAnsi"/>
        </w:rPr>
        <w:t>due to interruptions in regular activity and the ability to work</w:t>
      </w:r>
      <w:r w:rsidR="0020285E" w:rsidRPr="00305365">
        <w:rPr>
          <w:rFonts w:asciiTheme="minorHAnsi" w:hAnsiTheme="minorHAnsi" w:cstheme="minorHAnsi"/>
        </w:rPr>
        <w:t>.</w:t>
      </w:r>
      <w:r w:rsidR="00C26FE7" w:rsidRPr="00305365">
        <w:rPr>
          <w:rFonts w:asciiTheme="minorHAnsi" w:hAnsiTheme="minorHAnsi" w:cstheme="minorHAnsi"/>
        </w:rPr>
        <w:t xml:space="preserve"> </w:t>
      </w:r>
      <w:r w:rsidR="0020285E" w:rsidRPr="00305365">
        <w:rPr>
          <w:rFonts w:asciiTheme="minorHAnsi" w:hAnsiTheme="minorHAnsi" w:cstheme="minorHAnsi"/>
        </w:rPr>
        <w:t xml:space="preserve">While the impact in the southern area has been reduced in view of the gradual return of residents, the evacuation of residents from the north and interruptions to economic activity there have expanded, and are expected to continue making it difficult to return to normal activity. </w:t>
      </w:r>
    </w:p>
    <w:p w:rsidR="0020285E" w:rsidRPr="00305365" w:rsidRDefault="0020285E" w:rsidP="0020285E">
      <w:pPr>
        <w:bidi w:val="0"/>
        <w:jc w:val="both"/>
        <w:rPr>
          <w:rFonts w:asciiTheme="minorHAnsi" w:hAnsiTheme="minorHAnsi" w:cstheme="minorHAnsi"/>
        </w:rPr>
      </w:pPr>
    </w:p>
    <w:p w:rsidR="001C0AC9" w:rsidRPr="00305365" w:rsidRDefault="001C0AC9" w:rsidP="00A15315">
      <w:pPr>
        <w:bidi w:val="0"/>
        <w:jc w:val="both"/>
        <w:rPr>
          <w:rFonts w:asciiTheme="minorHAnsi" w:hAnsiTheme="minorHAnsi" w:cstheme="minorHAnsi"/>
        </w:rPr>
      </w:pPr>
      <w:r w:rsidRPr="00305365">
        <w:rPr>
          <w:rFonts w:asciiTheme="minorHAnsi" w:hAnsiTheme="minorHAnsi" w:cstheme="minorHAnsi"/>
        </w:rPr>
        <w:t xml:space="preserve">On the demand side, </w:t>
      </w:r>
      <w:r w:rsidR="00A15315" w:rsidRPr="00305365">
        <w:rPr>
          <w:rFonts w:asciiTheme="minorHAnsi" w:hAnsiTheme="minorHAnsi" w:cstheme="minorHAnsi"/>
        </w:rPr>
        <w:t xml:space="preserve">the volume of </w:t>
      </w:r>
      <w:r w:rsidRPr="00305365">
        <w:rPr>
          <w:rFonts w:asciiTheme="minorHAnsi" w:hAnsiTheme="minorHAnsi" w:cstheme="minorHAnsi"/>
        </w:rPr>
        <w:t>incoming touris</w:t>
      </w:r>
      <w:r w:rsidR="0020285E" w:rsidRPr="00305365">
        <w:rPr>
          <w:rFonts w:asciiTheme="minorHAnsi" w:hAnsiTheme="minorHAnsi" w:cstheme="minorHAnsi"/>
        </w:rPr>
        <w:t>m has been significantly impair</w:t>
      </w:r>
      <w:r w:rsidRPr="00305365">
        <w:rPr>
          <w:rFonts w:asciiTheme="minorHAnsi" w:hAnsiTheme="minorHAnsi" w:cstheme="minorHAnsi"/>
        </w:rPr>
        <w:t>ed, and experience from previous security incidents shows that this impact is expected to be prolonged</w:t>
      </w:r>
      <w:r w:rsidR="0020285E" w:rsidRPr="00305365">
        <w:rPr>
          <w:rFonts w:asciiTheme="minorHAnsi" w:hAnsiTheme="minorHAnsi" w:cstheme="minorHAnsi"/>
        </w:rPr>
        <w:t>.</w:t>
      </w:r>
      <w:r w:rsidRPr="00305365">
        <w:rPr>
          <w:rFonts w:asciiTheme="minorHAnsi" w:hAnsiTheme="minorHAnsi" w:cstheme="minorHAnsi"/>
        </w:rPr>
        <w:t xml:space="preserve">  In contrast, an increase in demand in the construction industry is expected within the forecast range, partly due to the need to rehabilitate buildings</w:t>
      </w:r>
      <w:r w:rsidR="00A15315" w:rsidRPr="00305365">
        <w:rPr>
          <w:rFonts w:asciiTheme="minorHAnsi" w:hAnsiTheme="minorHAnsi" w:cstheme="minorHAnsi"/>
        </w:rPr>
        <w:t xml:space="preserve"> that were damaged in the war</w:t>
      </w:r>
      <w:r w:rsidRPr="00305365">
        <w:rPr>
          <w:rFonts w:asciiTheme="minorHAnsi" w:hAnsiTheme="minorHAnsi" w:cstheme="minorHAnsi"/>
        </w:rPr>
        <w:t>.</w:t>
      </w:r>
      <w:r w:rsidR="0020285E" w:rsidRPr="00305365">
        <w:rPr>
          <w:rFonts w:asciiTheme="minorHAnsi" w:hAnsiTheme="minorHAnsi" w:cstheme="minorHAnsi"/>
        </w:rPr>
        <w:t xml:space="preserve">  This increase is expected to be reflected in higher construction costs until a response is found to the shortage of workers.</w:t>
      </w:r>
      <w:r w:rsidRPr="00305365">
        <w:rPr>
          <w:rFonts w:asciiTheme="minorHAnsi" w:hAnsiTheme="minorHAnsi" w:cstheme="minorHAnsi"/>
        </w:rPr>
        <w:t xml:space="preserve"> </w:t>
      </w:r>
    </w:p>
    <w:p w:rsidR="001C0AC9" w:rsidRPr="00305365" w:rsidRDefault="001C0AC9" w:rsidP="001C0AC9">
      <w:pPr>
        <w:bidi w:val="0"/>
        <w:jc w:val="both"/>
        <w:rPr>
          <w:rFonts w:asciiTheme="minorHAnsi" w:hAnsiTheme="minorHAnsi" w:cstheme="minorHAnsi"/>
        </w:rPr>
      </w:pPr>
    </w:p>
    <w:p w:rsidR="001C0AC9" w:rsidRPr="00305365" w:rsidRDefault="001C0AC9" w:rsidP="000E2E12">
      <w:pPr>
        <w:bidi w:val="0"/>
        <w:jc w:val="both"/>
        <w:rPr>
          <w:rFonts w:asciiTheme="minorHAnsi" w:hAnsiTheme="minorHAnsi" w:cstheme="minorHAnsi"/>
          <w:rtl/>
        </w:rPr>
      </w:pPr>
      <w:r w:rsidRPr="00305365">
        <w:rPr>
          <w:rFonts w:asciiTheme="minorHAnsi" w:hAnsiTheme="minorHAnsi" w:cstheme="minorHAnsi"/>
        </w:rPr>
        <w:t>In view of</w:t>
      </w:r>
      <w:r w:rsidR="0020285E" w:rsidRPr="00305365">
        <w:rPr>
          <w:rFonts w:asciiTheme="minorHAnsi" w:hAnsiTheme="minorHAnsi" w:cstheme="minorHAnsi"/>
        </w:rPr>
        <w:t xml:space="preserve"> the supply </w:t>
      </w:r>
      <w:r w:rsidR="000E2E12" w:rsidRPr="00305365">
        <w:rPr>
          <w:rFonts w:asciiTheme="minorHAnsi" w:hAnsiTheme="minorHAnsi" w:cstheme="minorHAnsi"/>
        </w:rPr>
        <w:t>constraints</w:t>
      </w:r>
      <w:r w:rsidR="0020285E" w:rsidRPr="00305365">
        <w:rPr>
          <w:rFonts w:asciiTheme="minorHAnsi" w:hAnsiTheme="minorHAnsi" w:cstheme="minorHAnsi"/>
        </w:rPr>
        <w:t xml:space="preserve"> in the labor market</w:t>
      </w:r>
      <w:r w:rsidRPr="00305365">
        <w:rPr>
          <w:rFonts w:asciiTheme="minorHAnsi" w:hAnsiTheme="minorHAnsi" w:cstheme="minorHAnsi"/>
        </w:rPr>
        <w:t xml:space="preserve">, our assessment is that the broad unemployment rate among the main working ages will </w:t>
      </w:r>
      <w:r w:rsidR="0020285E" w:rsidRPr="00305365">
        <w:rPr>
          <w:rFonts w:asciiTheme="minorHAnsi" w:hAnsiTheme="minorHAnsi" w:cstheme="minorHAnsi"/>
        </w:rPr>
        <w:t>remain low this year</w:t>
      </w:r>
      <w:r w:rsidRPr="00305365">
        <w:rPr>
          <w:rFonts w:asciiTheme="minorHAnsi" w:hAnsiTheme="minorHAnsi" w:cstheme="minorHAnsi"/>
        </w:rPr>
        <w:t xml:space="preserve">, and </w:t>
      </w:r>
      <w:r w:rsidR="0020285E" w:rsidRPr="00305365">
        <w:rPr>
          <w:rFonts w:asciiTheme="minorHAnsi" w:hAnsiTheme="minorHAnsi" w:cstheme="minorHAnsi"/>
        </w:rPr>
        <w:t xml:space="preserve">will be </w:t>
      </w:r>
      <w:r w:rsidRPr="00305365">
        <w:rPr>
          <w:rFonts w:asciiTheme="minorHAnsi" w:hAnsiTheme="minorHAnsi" w:cstheme="minorHAnsi"/>
        </w:rPr>
        <w:t>3.</w:t>
      </w:r>
      <w:r w:rsidR="0020285E" w:rsidRPr="00305365">
        <w:rPr>
          <w:rFonts w:asciiTheme="minorHAnsi" w:hAnsiTheme="minorHAnsi" w:cstheme="minorHAnsi"/>
        </w:rPr>
        <w:t>2</w:t>
      </w:r>
      <w:r w:rsidRPr="00305365">
        <w:rPr>
          <w:rFonts w:asciiTheme="minorHAnsi" w:hAnsiTheme="minorHAnsi" w:cstheme="minorHAnsi"/>
        </w:rPr>
        <w:t xml:space="preserve"> percent in 2025.</w:t>
      </w:r>
      <w:r w:rsidR="0020285E" w:rsidRPr="00305365">
        <w:rPr>
          <w:rFonts w:asciiTheme="minorHAnsi" w:hAnsiTheme="minorHAnsi" w:cstheme="minorHAnsi"/>
        </w:rPr>
        <w:t xml:space="preserve">  A reduction in the </w:t>
      </w:r>
      <w:r w:rsidR="00A15315" w:rsidRPr="00305365">
        <w:rPr>
          <w:rFonts w:asciiTheme="minorHAnsi" w:hAnsiTheme="minorHAnsi" w:cstheme="minorHAnsi"/>
        </w:rPr>
        <w:t>number of soldiers in reserve duty</w:t>
      </w:r>
      <w:r w:rsidR="0020285E" w:rsidRPr="00305365">
        <w:rPr>
          <w:rFonts w:asciiTheme="minorHAnsi" w:hAnsiTheme="minorHAnsi" w:cstheme="minorHAnsi"/>
        </w:rPr>
        <w:t xml:space="preserve"> in 2025 will eas</w:t>
      </w:r>
      <w:r w:rsidR="00A15315" w:rsidRPr="00305365">
        <w:rPr>
          <w:rFonts w:asciiTheme="minorHAnsi" w:hAnsiTheme="minorHAnsi" w:cstheme="minorHAnsi"/>
        </w:rPr>
        <w:t>e</w:t>
      </w:r>
      <w:r w:rsidR="0020285E" w:rsidRPr="00305365">
        <w:rPr>
          <w:rFonts w:asciiTheme="minorHAnsi" w:hAnsiTheme="minorHAnsi" w:cstheme="minorHAnsi"/>
        </w:rPr>
        <w:t xml:space="preserve"> the supply restrictions</w:t>
      </w:r>
      <w:r w:rsidR="00A15315" w:rsidRPr="00305365">
        <w:rPr>
          <w:rFonts w:asciiTheme="minorHAnsi" w:hAnsiTheme="minorHAnsi" w:cstheme="minorHAnsi"/>
        </w:rPr>
        <w:t xml:space="preserve"> in the labor market</w:t>
      </w:r>
      <w:r w:rsidR="0020285E" w:rsidRPr="00305365">
        <w:rPr>
          <w:rFonts w:asciiTheme="minorHAnsi" w:hAnsiTheme="minorHAnsi" w:cstheme="minorHAnsi"/>
        </w:rPr>
        <w:t xml:space="preserve"> and </w:t>
      </w:r>
      <w:r w:rsidR="00A15315" w:rsidRPr="00305365">
        <w:rPr>
          <w:rFonts w:asciiTheme="minorHAnsi" w:hAnsiTheme="minorHAnsi" w:cstheme="minorHAnsi"/>
        </w:rPr>
        <w:t xml:space="preserve">support </w:t>
      </w:r>
      <w:r w:rsidR="0020285E" w:rsidRPr="00305365">
        <w:rPr>
          <w:rFonts w:asciiTheme="minorHAnsi" w:hAnsiTheme="minorHAnsi" w:cstheme="minorHAnsi"/>
        </w:rPr>
        <w:t>a return of the volume of employment toward its prewar trend.</w:t>
      </w:r>
    </w:p>
    <w:p w:rsidR="00BC0E38" w:rsidRPr="00305365" w:rsidRDefault="00BC0E38" w:rsidP="00BC0E38">
      <w:pPr>
        <w:bidi w:val="0"/>
        <w:jc w:val="both"/>
        <w:rPr>
          <w:rFonts w:asciiTheme="minorHAnsi" w:hAnsiTheme="minorHAnsi" w:cstheme="minorHAnsi"/>
        </w:rPr>
      </w:pPr>
    </w:p>
    <w:p w:rsidR="002405BC" w:rsidRPr="00305365" w:rsidRDefault="003A247B" w:rsidP="00A15315">
      <w:pPr>
        <w:bidi w:val="0"/>
        <w:jc w:val="both"/>
        <w:rPr>
          <w:rFonts w:asciiTheme="minorHAnsi" w:hAnsiTheme="minorHAnsi" w:cstheme="minorHAnsi"/>
        </w:rPr>
      </w:pPr>
      <w:r w:rsidRPr="00305365">
        <w:rPr>
          <w:rFonts w:asciiTheme="minorHAnsi" w:hAnsiTheme="minorHAnsi" w:cstheme="minorHAnsi"/>
          <w:b/>
          <w:bCs/>
        </w:rPr>
        <w:t xml:space="preserve">The government budget deficit is expected to be </w:t>
      </w:r>
      <w:r w:rsidR="0020285E" w:rsidRPr="00305365">
        <w:rPr>
          <w:rFonts w:asciiTheme="minorHAnsi" w:hAnsiTheme="minorHAnsi" w:cstheme="minorHAnsi"/>
          <w:b/>
          <w:bCs/>
        </w:rPr>
        <w:t>7.2</w:t>
      </w:r>
      <w:r w:rsidRPr="00305365">
        <w:rPr>
          <w:rFonts w:asciiTheme="minorHAnsi" w:hAnsiTheme="minorHAnsi" w:cstheme="minorHAnsi"/>
          <w:b/>
          <w:bCs/>
        </w:rPr>
        <w:t xml:space="preserve"> percent of GDP in 2024 and </w:t>
      </w:r>
      <w:r w:rsidR="005263C5" w:rsidRPr="00305365">
        <w:rPr>
          <w:rFonts w:asciiTheme="minorHAnsi" w:hAnsiTheme="minorHAnsi" w:cstheme="minorHAnsi"/>
          <w:b/>
          <w:bCs/>
        </w:rPr>
        <w:t>4.9</w:t>
      </w:r>
      <w:r w:rsidR="001C0AC9" w:rsidRPr="00305365">
        <w:rPr>
          <w:rFonts w:asciiTheme="minorHAnsi" w:hAnsiTheme="minorHAnsi" w:cstheme="minorHAnsi"/>
          <w:b/>
          <w:bCs/>
        </w:rPr>
        <w:t xml:space="preserve"> </w:t>
      </w:r>
      <w:r w:rsidRPr="00305365">
        <w:rPr>
          <w:rFonts w:asciiTheme="minorHAnsi" w:hAnsiTheme="minorHAnsi" w:cstheme="minorHAnsi"/>
          <w:b/>
          <w:bCs/>
        </w:rPr>
        <w:t xml:space="preserve">percent of GDP in 2025.  </w:t>
      </w:r>
      <w:r w:rsidR="001C0AC9" w:rsidRPr="00305365">
        <w:rPr>
          <w:rFonts w:asciiTheme="minorHAnsi" w:hAnsiTheme="minorHAnsi" w:cstheme="minorHAnsi"/>
          <w:b/>
          <w:bCs/>
        </w:rPr>
        <w:t>Public</w:t>
      </w:r>
      <w:r w:rsidRPr="00305365">
        <w:rPr>
          <w:rFonts w:asciiTheme="minorHAnsi" w:hAnsiTheme="minorHAnsi" w:cstheme="minorHAnsi"/>
          <w:b/>
          <w:bCs/>
        </w:rPr>
        <w:t xml:space="preserve"> debt is expected to rise to</w:t>
      </w:r>
      <w:r w:rsidR="00A15315" w:rsidRPr="00305365">
        <w:rPr>
          <w:rFonts w:asciiTheme="minorHAnsi" w:hAnsiTheme="minorHAnsi" w:cstheme="minorHAnsi"/>
          <w:b/>
          <w:bCs/>
        </w:rPr>
        <w:t xml:space="preserve"> about</w:t>
      </w:r>
      <w:r w:rsidRPr="00305365">
        <w:rPr>
          <w:rFonts w:asciiTheme="minorHAnsi" w:hAnsiTheme="minorHAnsi" w:cstheme="minorHAnsi"/>
          <w:b/>
          <w:bCs/>
        </w:rPr>
        <w:t xml:space="preserve"> 6</w:t>
      </w:r>
      <w:r w:rsidR="0020285E" w:rsidRPr="00305365">
        <w:rPr>
          <w:rFonts w:asciiTheme="minorHAnsi" w:hAnsiTheme="minorHAnsi" w:cstheme="minorHAnsi"/>
          <w:b/>
          <w:bCs/>
        </w:rPr>
        <w:t>8</w:t>
      </w:r>
      <w:r w:rsidRPr="00305365">
        <w:rPr>
          <w:rFonts w:asciiTheme="minorHAnsi" w:hAnsiTheme="minorHAnsi" w:cstheme="minorHAnsi"/>
          <w:b/>
          <w:bCs/>
        </w:rPr>
        <w:t xml:space="preserve"> percent of GDP in 2024, and </w:t>
      </w:r>
      <w:r w:rsidR="00A15315" w:rsidRPr="00305365">
        <w:rPr>
          <w:rFonts w:asciiTheme="minorHAnsi" w:hAnsiTheme="minorHAnsi" w:cstheme="minorHAnsi"/>
          <w:b/>
          <w:bCs/>
        </w:rPr>
        <w:t xml:space="preserve">about </w:t>
      </w:r>
      <w:r w:rsidR="005263C5" w:rsidRPr="00305365">
        <w:rPr>
          <w:rFonts w:asciiTheme="minorHAnsi" w:hAnsiTheme="minorHAnsi" w:cstheme="minorHAnsi"/>
          <w:b/>
          <w:bCs/>
        </w:rPr>
        <w:t>69</w:t>
      </w:r>
      <w:r w:rsidR="001C0AC9" w:rsidRPr="00305365">
        <w:rPr>
          <w:rFonts w:asciiTheme="minorHAnsi" w:hAnsiTheme="minorHAnsi" w:cstheme="minorHAnsi"/>
          <w:b/>
          <w:bCs/>
        </w:rPr>
        <w:t xml:space="preserve"> percent of GDP</w:t>
      </w:r>
      <w:r w:rsidRPr="00305365">
        <w:rPr>
          <w:rFonts w:asciiTheme="minorHAnsi" w:hAnsiTheme="minorHAnsi" w:cstheme="minorHAnsi"/>
          <w:b/>
          <w:bCs/>
        </w:rPr>
        <w:t xml:space="preserve"> in 2025.</w:t>
      </w:r>
      <w:r w:rsidRPr="00305365">
        <w:rPr>
          <w:rFonts w:asciiTheme="minorHAnsi" w:hAnsiTheme="minorHAnsi" w:cstheme="minorHAnsi"/>
        </w:rPr>
        <w:t xml:space="preserve">  </w:t>
      </w:r>
      <w:r w:rsidR="001C0AC9" w:rsidRPr="00305365">
        <w:rPr>
          <w:rFonts w:asciiTheme="minorHAnsi" w:hAnsiTheme="minorHAnsi" w:cstheme="minorHAnsi"/>
        </w:rPr>
        <w:t xml:space="preserve">Relative to the previous forecast in </w:t>
      </w:r>
      <w:r w:rsidR="0020285E" w:rsidRPr="00305365">
        <w:rPr>
          <w:rFonts w:asciiTheme="minorHAnsi" w:hAnsiTheme="minorHAnsi" w:cstheme="minorHAnsi"/>
        </w:rPr>
        <w:t>July</w:t>
      </w:r>
      <w:r w:rsidR="001C0AC9" w:rsidRPr="00305365">
        <w:rPr>
          <w:rFonts w:asciiTheme="minorHAnsi" w:hAnsiTheme="minorHAnsi" w:cstheme="minorHAnsi"/>
        </w:rPr>
        <w:t xml:space="preserve">, </w:t>
      </w:r>
      <w:r w:rsidR="00A15315" w:rsidRPr="00305365">
        <w:rPr>
          <w:rFonts w:asciiTheme="minorHAnsi" w:hAnsiTheme="minorHAnsi" w:cstheme="minorHAnsi"/>
        </w:rPr>
        <w:t>the current</w:t>
      </w:r>
      <w:r w:rsidR="001B55FD" w:rsidRPr="00305365">
        <w:rPr>
          <w:rFonts w:asciiTheme="minorHAnsi" w:hAnsiTheme="minorHAnsi" w:cstheme="minorHAnsi"/>
        </w:rPr>
        <w:t xml:space="preserve"> </w:t>
      </w:r>
      <w:r w:rsidR="001C0AC9" w:rsidRPr="00305365">
        <w:rPr>
          <w:rFonts w:asciiTheme="minorHAnsi" w:hAnsiTheme="minorHAnsi" w:cstheme="minorHAnsi"/>
        </w:rPr>
        <w:t xml:space="preserve">forecast </w:t>
      </w:r>
      <w:r w:rsidR="00A15315" w:rsidRPr="00305365">
        <w:rPr>
          <w:rFonts w:asciiTheme="minorHAnsi" w:hAnsiTheme="minorHAnsi" w:cstheme="minorHAnsi"/>
        </w:rPr>
        <w:t>projects an increase in</w:t>
      </w:r>
      <w:r w:rsidR="001B55FD" w:rsidRPr="00305365">
        <w:rPr>
          <w:rFonts w:asciiTheme="minorHAnsi" w:hAnsiTheme="minorHAnsi" w:cstheme="minorHAnsi"/>
        </w:rPr>
        <w:t xml:space="preserve"> </w:t>
      </w:r>
      <w:r w:rsidR="0020285E" w:rsidRPr="00305365">
        <w:rPr>
          <w:rFonts w:asciiTheme="minorHAnsi" w:hAnsiTheme="minorHAnsi" w:cstheme="minorHAnsi"/>
        </w:rPr>
        <w:t xml:space="preserve">temporary </w:t>
      </w:r>
      <w:r w:rsidR="001C0AC9" w:rsidRPr="00305365">
        <w:rPr>
          <w:rFonts w:asciiTheme="minorHAnsi" w:hAnsiTheme="minorHAnsi" w:cstheme="minorHAnsi"/>
        </w:rPr>
        <w:t>defense expenditures in</w:t>
      </w:r>
      <w:r w:rsidR="0020285E" w:rsidRPr="00305365">
        <w:rPr>
          <w:rFonts w:asciiTheme="minorHAnsi" w:hAnsiTheme="minorHAnsi" w:cstheme="minorHAnsi"/>
        </w:rPr>
        <w:t xml:space="preserve"> 2024 and 2025, in</w:t>
      </w:r>
      <w:r w:rsidR="001C0AC9" w:rsidRPr="00305365">
        <w:rPr>
          <w:rFonts w:asciiTheme="minorHAnsi" w:hAnsiTheme="minorHAnsi" w:cstheme="minorHAnsi"/>
        </w:rPr>
        <w:t xml:space="preserve"> view of</w:t>
      </w:r>
      <w:r w:rsidR="002405BC" w:rsidRPr="00305365">
        <w:rPr>
          <w:rFonts w:asciiTheme="minorHAnsi" w:hAnsiTheme="minorHAnsi" w:cstheme="minorHAnsi"/>
        </w:rPr>
        <w:t xml:space="preserve"> recent security developments and in view of</w:t>
      </w:r>
      <w:r w:rsidR="001C0AC9" w:rsidRPr="00305365">
        <w:rPr>
          <w:rFonts w:asciiTheme="minorHAnsi" w:hAnsiTheme="minorHAnsi" w:cstheme="minorHAnsi"/>
        </w:rPr>
        <w:t xml:space="preserve"> the revision to the working assumption regarding the intensity of the fighting.  In addition, </w:t>
      </w:r>
      <w:r w:rsidR="002405BC" w:rsidRPr="00305365">
        <w:rPr>
          <w:rFonts w:asciiTheme="minorHAnsi" w:hAnsiTheme="minorHAnsi" w:cstheme="minorHAnsi"/>
        </w:rPr>
        <w:t xml:space="preserve">we assume that part of the American assistance grant will be diverted </w:t>
      </w:r>
      <w:r w:rsidR="00A15315" w:rsidRPr="00305365">
        <w:rPr>
          <w:rFonts w:asciiTheme="minorHAnsi" w:hAnsiTheme="minorHAnsi" w:cstheme="minorHAnsi"/>
        </w:rPr>
        <w:t xml:space="preserve">from 2024 </w:t>
      </w:r>
      <w:r w:rsidR="002405BC" w:rsidRPr="00305365">
        <w:rPr>
          <w:rFonts w:asciiTheme="minorHAnsi" w:hAnsiTheme="minorHAnsi" w:cstheme="minorHAnsi"/>
        </w:rPr>
        <w:t xml:space="preserve">to the coming years. However, the forecast of government revenues for 2024 was revised upward in view of the faster-than-expected growth in the volume of actual revenue, which is moderating the increase in the deficit. </w:t>
      </w:r>
    </w:p>
    <w:p w:rsidR="00A15315" w:rsidRPr="00305365" w:rsidRDefault="00A15315" w:rsidP="00A15315">
      <w:pPr>
        <w:bidi w:val="0"/>
        <w:jc w:val="both"/>
        <w:rPr>
          <w:rFonts w:asciiTheme="minorHAnsi" w:hAnsiTheme="minorHAnsi" w:cstheme="minorHAnsi"/>
        </w:rPr>
      </w:pPr>
    </w:p>
    <w:p w:rsidR="001C0AC9" w:rsidRPr="00305365" w:rsidRDefault="002405BC" w:rsidP="002405BC">
      <w:pPr>
        <w:bidi w:val="0"/>
        <w:jc w:val="both"/>
        <w:rPr>
          <w:rFonts w:asciiTheme="minorHAnsi" w:hAnsiTheme="minorHAnsi" w:cstheme="minorHAnsi"/>
        </w:rPr>
      </w:pPr>
      <w:r w:rsidRPr="00305365">
        <w:rPr>
          <w:rFonts w:asciiTheme="minorHAnsi" w:hAnsiTheme="minorHAnsi" w:cstheme="minorHAnsi"/>
        </w:rPr>
        <w:t>T</w:t>
      </w:r>
      <w:r w:rsidR="001C0AC9" w:rsidRPr="00305365">
        <w:rPr>
          <w:rFonts w:asciiTheme="minorHAnsi" w:hAnsiTheme="minorHAnsi" w:cstheme="minorHAnsi"/>
        </w:rPr>
        <w:t xml:space="preserve">he forecast was compiled under the working assumption that the government will make permanent adjustments totaling </w:t>
      </w:r>
      <w:r w:rsidR="001B55FD" w:rsidRPr="00305365">
        <w:rPr>
          <w:rFonts w:asciiTheme="minorHAnsi" w:hAnsiTheme="minorHAnsi" w:cstheme="minorHAnsi"/>
        </w:rPr>
        <w:t xml:space="preserve">NIS 30 </w:t>
      </w:r>
      <w:r w:rsidR="001C0AC9" w:rsidRPr="00305365">
        <w:rPr>
          <w:rFonts w:asciiTheme="minorHAnsi" w:hAnsiTheme="minorHAnsi" w:cstheme="minorHAnsi"/>
        </w:rPr>
        <w:t xml:space="preserve">billion </w:t>
      </w:r>
      <w:r w:rsidRPr="00305365">
        <w:rPr>
          <w:rFonts w:asciiTheme="minorHAnsi" w:hAnsiTheme="minorHAnsi" w:cstheme="minorHAnsi"/>
        </w:rPr>
        <w:t xml:space="preserve">beginning in 2025—beyond the increase in VAT that has already been approved, </w:t>
      </w:r>
      <w:r w:rsidR="001C0AC9" w:rsidRPr="00305365">
        <w:rPr>
          <w:rFonts w:asciiTheme="minorHAnsi" w:hAnsiTheme="minorHAnsi" w:cstheme="minorHAnsi"/>
        </w:rPr>
        <w:t xml:space="preserve">to lower the </w:t>
      </w:r>
      <w:r w:rsidRPr="00305365">
        <w:rPr>
          <w:rFonts w:asciiTheme="minorHAnsi" w:hAnsiTheme="minorHAnsi" w:cstheme="minorHAnsi"/>
        </w:rPr>
        <w:t xml:space="preserve">structural </w:t>
      </w:r>
      <w:r w:rsidR="001C0AC9" w:rsidRPr="00305365">
        <w:rPr>
          <w:rFonts w:asciiTheme="minorHAnsi" w:hAnsiTheme="minorHAnsi" w:cstheme="minorHAnsi"/>
        </w:rPr>
        <w:t>deficit in</w:t>
      </w:r>
      <w:r w:rsidRPr="00305365">
        <w:rPr>
          <w:rFonts w:asciiTheme="minorHAnsi" w:hAnsiTheme="minorHAnsi" w:cstheme="minorHAnsi"/>
        </w:rPr>
        <w:t xml:space="preserve"> the medium term.</w:t>
      </w:r>
      <w:r w:rsidR="001C0AC9" w:rsidRPr="00305365">
        <w:rPr>
          <w:rFonts w:asciiTheme="minorHAnsi" w:hAnsiTheme="minorHAnsi" w:cstheme="minorHAnsi"/>
        </w:rPr>
        <w:t xml:space="preserve"> </w:t>
      </w:r>
      <w:r w:rsidRPr="00305365">
        <w:rPr>
          <w:rFonts w:asciiTheme="minorHAnsi" w:hAnsiTheme="minorHAnsi" w:cstheme="minorHAnsi"/>
        </w:rPr>
        <w:t xml:space="preserve"> Our working assumption is that the adjustments will be spread out similarly between the expenditures side and the revenues side of the budget</w:t>
      </w:r>
      <w:r w:rsidR="001C0AC9" w:rsidRPr="00305365">
        <w:rPr>
          <w:rFonts w:asciiTheme="minorHAnsi" w:hAnsiTheme="minorHAnsi" w:cstheme="minorHAnsi"/>
        </w:rPr>
        <w:t xml:space="preserve">. </w:t>
      </w:r>
      <w:r w:rsidRPr="00305365">
        <w:rPr>
          <w:rFonts w:asciiTheme="minorHAnsi" w:hAnsiTheme="minorHAnsi" w:cstheme="minorHAnsi"/>
        </w:rPr>
        <w:t xml:space="preserve"> Assuming that the defense budget is increased in accordance with the programs to increase manpower in the military, including in the reserves, and before the budget increment being discussed by the “Nagel Committee” to assess the force structure and the defense budget, these</w:t>
      </w:r>
      <w:r w:rsidR="001C0AC9" w:rsidRPr="00305365">
        <w:rPr>
          <w:rFonts w:asciiTheme="minorHAnsi" w:hAnsiTheme="minorHAnsi" w:cstheme="minorHAnsi"/>
        </w:rPr>
        <w:t xml:space="preserve"> adjustments will </w:t>
      </w:r>
      <w:r w:rsidRPr="00305365">
        <w:rPr>
          <w:rFonts w:asciiTheme="minorHAnsi" w:hAnsiTheme="minorHAnsi" w:cstheme="minorHAnsi"/>
        </w:rPr>
        <w:t xml:space="preserve">help </w:t>
      </w:r>
      <w:r w:rsidR="001C0AC9" w:rsidRPr="00305365">
        <w:rPr>
          <w:rFonts w:asciiTheme="minorHAnsi" w:hAnsiTheme="minorHAnsi" w:cstheme="minorHAnsi"/>
        </w:rPr>
        <w:t xml:space="preserve">moderate the increase in the debt to GDP ratio in 2025, and are expected to </w:t>
      </w:r>
      <w:r w:rsidRPr="00305365">
        <w:rPr>
          <w:rFonts w:asciiTheme="minorHAnsi" w:hAnsiTheme="minorHAnsi" w:cstheme="minorHAnsi"/>
        </w:rPr>
        <w:t>help reduce it</w:t>
      </w:r>
      <w:r w:rsidR="001C0AC9" w:rsidRPr="00305365">
        <w:rPr>
          <w:rFonts w:asciiTheme="minorHAnsi" w:hAnsiTheme="minorHAnsi" w:cstheme="minorHAnsi"/>
        </w:rPr>
        <w:t xml:space="preserve"> </w:t>
      </w:r>
      <w:r w:rsidR="000B4DDD" w:rsidRPr="00305365">
        <w:rPr>
          <w:rFonts w:asciiTheme="minorHAnsi" w:hAnsiTheme="minorHAnsi" w:cstheme="minorHAnsi"/>
        </w:rPr>
        <w:t xml:space="preserve">beginning </w:t>
      </w:r>
      <w:r w:rsidR="001C0AC9" w:rsidRPr="00305365">
        <w:rPr>
          <w:rFonts w:asciiTheme="minorHAnsi" w:hAnsiTheme="minorHAnsi" w:cstheme="minorHAnsi"/>
        </w:rPr>
        <w:t xml:space="preserve">in 2026.  Without making these adjustments, </w:t>
      </w:r>
      <w:r w:rsidRPr="00305365">
        <w:rPr>
          <w:rFonts w:asciiTheme="minorHAnsi" w:hAnsiTheme="minorHAnsi" w:cstheme="minorHAnsi"/>
        </w:rPr>
        <w:t>the</w:t>
      </w:r>
      <w:r w:rsidR="001C0AC9" w:rsidRPr="00305365">
        <w:rPr>
          <w:rFonts w:asciiTheme="minorHAnsi" w:hAnsiTheme="minorHAnsi" w:cstheme="minorHAnsi"/>
        </w:rPr>
        <w:t xml:space="preserve"> public debt </w:t>
      </w:r>
      <w:r w:rsidRPr="00305365">
        <w:rPr>
          <w:rFonts w:asciiTheme="minorHAnsi" w:hAnsiTheme="minorHAnsi" w:cstheme="minorHAnsi"/>
        </w:rPr>
        <w:t xml:space="preserve">ratio </w:t>
      </w:r>
      <w:r w:rsidR="001C0AC9" w:rsidRPr="00305365">
        <w:rPr>
          <w:rFonts w:asciiTheme="minorHAnsi" w:hAnsiTheme="minorHAnsi" w:cstheme="minorHAnsi"/>
        </w:rPr>
        <w:t xml:space="preserve">will continue to increase in the medium term.  </w:t>
      </w:r>
    </w:p>
    <w:p w:rsidR="006866C5" w:rsidRPr="00305365" w:rsidRDefault="006866C5">
      <w:pPr>
        <w:bidi w:val="0"/>
        <w:spacing w:after="200" w:line="276" w:lineRule="auto"/>
        <w:rPr>
          <w:rFonts w:asciiTheme="minorHAnsi" w:hAnsiTheme="minorHAnsi" w:cstheme="minorHAnsi"/>
          <w:color w:val="FF0000"/>
        </w:rPr>
      </w:pPr>
      <w:r w:rsidRPr="00305365">
        <w:rPr>
          <w:rFonts w:asciiTheme="minorHAnsi" w:hAnsiTheme="minorHAnsi" w:cstheme="minorHAnsi"/>
          <w:color w:val="FF0000"/>
        </w:rPr>
        <w:br w:type="page"/>
      </w:r>
    </w:p>
    <w:p w:rsidR="003A247B" w:rsidRPr="00305365" w:rsidRDefault="003A247B" w:rsidP="003A247B">
      <w:pPr>
        <w:bidi w:val="0"/>
        <w:jc w:val="both"/>
        <w:rPr>
          <w:rFonts w:asciiTheme="minorHAnsi" w:hAnsiTheme="minorHAnsi" w:cstheme="minorHAnsi"/>
          <w:color w:val="FF0000"/>
        </w:rPr>
      </w:pPr>
    </w:p>
    <w:tbl>
      <w:tblPr>
        <w:tblStyle w:val="a7"/>
        <w:tblpPr w:leftFromText="181" w:rightFromText="181" w:vertAnchor="text" w:horzAnchor="margin" w:tblpXSpec="center" w:tblpY="1"/>
        <w:tblOverlap w:val="never"/>
        <w:tblW w:w="10768" w:type="dxa"/>
        <w:tblLayout w:type="fixed"/>
        <w:tblLook w:val="04A0" w:firstRow="1" w:lastRow="0" w:firstColumn="1" w:lastColumn="0" w:noHBand="0" w:noVBand="1"/>
      </w:tblPr>
      <w:tblGrid>
        <w:gridCol w:w="4957"/>
        <w:gridCol w:w="1134"/>
        <w:gridCol w:w="1134"/>
        <w:gridCol w:w="1134"/>
        <w:gridCol w:w="1275"/>
        <w:gridCol w:w="1134"/>
      </w:tblGrid>
      <w:tr w:rsidR="00B518A6" w:rsidRPr="00305365" w:rsidTr="00247644">
        <w:trPr>
          <w:trHeight w:val="200"/>
        </w:trPr>
        <w:tc>
          <w:tcPr>
            <w:tcW w:w="10768" w:type="dxa"/>
            <w:gridSpan w:val="6"/>
            <w:tcBorders>
              <w:top w:val="single" w:sz="4" w:space="0" w:color="auto"/>
              <w:bottom w:val="single" w:sz="4" w:space="0" w:color="auto"/>
              <w:right w:val="single" w:sz="4" w:space="0" w:color="auto"/>
            </w:tcBorders>
          </w:tcPr>
          <w:p w:rsidR="00B518A6" w:rsidRPr="00305365" w:rsidRDefault="00B518A6" w:rsidP="00C53E1E">
            <w:pPr>
              <w:bidi w:val="0"/>
              <w:rPr>
                <w:rFonts w:asciiTheme="minorHAnsi" w:hAnsiTheme="minorHAnsi" w:cstheme="minorHAnsi"/>
                <w:b/>
                <w:bCs/>
                <w:color w:val="0070C0"/>
              </w:rPr>
            </w:pPr>
            <w:r w:rsidRPr="00305365">
              <w:rPr>
                <w:rFonts w:asciiTheme="minorHAnsi" w:hAnsiTheme="minorHAnsi" w:cstheme="minorHAnsi"/>
                <w:b/>
                <w:bCs/>
                <w:color w:val="0070C0"/>
              </w:rPr>
              <w:t>Table 1</w:t>
            </w:r>
          </w:p>
          <w:p w:rsidR="00B518A6" w:rsidRPr="00305365" w:rsidRDefault="00B518A6" w:rsidP="00247644">
            <w:pPr>
              <w:bidi w:val="0"/>
              <w:rPr>
                <w:rFonts w:asciiTheme="minorHAnsi" w:hAnsiTheme="minorHAnsi" w:cstheme="minorHAnsi"/>
                <w:b/>
                <w:bCs/>
                <w:color w:val="0070C0"/>
              </w:rPr>
            </w:pPr>
            <w:r w:rsidRPr="00305365">
              <w:rPr>
                <w:rFonts w:asciiTheme="minorHAnsi" w:hAnsiTheme="minorHAnsi" w:cstheme="minorHAnsi"/>
                <w:b/>
                <w:bCs/>
                <w:color w:val="0070C0"/>
              </w:rPr>
              <w:t>Research Department Staff Forecast for 202</w:t>
            </w:r>
            <w:r w:rsidR="00247644" w:rsidRPr="00305365">
              <w:rPr>
                <w:rFonts w:asciiTheme="minorHAnsi" w:hAnsiTheme="minorHAnsi" w:cstheme="minorHAnsi"/>
                <w:b/>
                <w:bCs/>
                <w:color w:val="0070C0"/>
              </w:rPr>
              <w:t>3</w:t>
            </w:r>
            <w:r w:rsidRPr="00305365">
              <w:rPr>
                <w:rFonts w:asciiTheme="minorHAnsi" w:hAnsiTheme="minorHAnsi" w:cstheme="minorHAnsi"/>
                <w:b/>
                <w:bCs/>
                <w:color w:val="0070C0"/>
              </w:rPr>
              <w:t>–202</w:t>
            </w:r>
            <w:r w:rsidR="00247644" w:rsidRPr="00305365">
              <w:rPr>
                <w:rFonts w:asciiTheme="minorHAnsi" w:hAnsiTheme="minorHAnsi" w:cstheme="minorHAnsi"/>
                <w:b/>
                <w:bCs/>
                <w:color w:val="0070C0"/>
              </w:rPr>
              <w:t>5</w:t>
            </w:r>
          </w:p>
          <w:p w:rsidR="00B518A6" w:rsidRPr="00305365" w:rsidRDefault="00B518A6" w:rsidP="00C53E1E">
            <w:pPr>
              <w:bidi w:val="0"/>
              <w:rPr>
                <w:rFonts w:asciiTheme="minorHAnsi" w:hAnsiTheme="minorHAnsi" w:cstheme="minorHAnsi"/>
                <w:b/>
                <w:bCs/>
                <w:color w:val="0070C0"/>
              </w:rPr>
            </w:pPr>
            <w:r w:rsidRPr="00305365">
              <w:rPr>
                <w:rFonts w:asciiTheme="minorHAnsi" w:hAnsiTheme="minorHAnsi" w:cstheme="minorHAnsi"/>
                <w:color w:val="0070C0"/>
                <w:sz w:val="22"/>
                <w:szCs w:val="22"/>
              </w:rPr>
              <w:t xml:space="preserve">(rates of change, </w:t>
            </w:r>
            <w:proofErr w:type="spellStart"/>
            <w:r w:rsidRPr="00305365">
              <w:rPr>
                <w:rFonts w:asciiTheme="minorHAnsi" w:hAnsiTheme="minorHAnsi" w:cstheme="minorHAnsi"/>
                <w:color w:val="0070C0"/>
                <w:sz w:val="22"/>
                <w:szCs w:val="22"/>
              </w:rPr>
              <w:t>percent</w:t>
            </w:r>
            <w:r w:rsidRPr="00305365">
              <w:rPr>
                <w:rFonts w:asciiTheme="minorHAnsi" w:hAnsiTheme="minorHAnsi" w:cstheme="minorHAnsi"/>
                <w:color w:val="0070C0"/>
                <w:sz w:val="22"/>
                <w:szCs w:val="22"/>
                <w:vertAlign w:val="superscript"/>
              </w:rPr>
              <w:t>a</w:t>
            </w:r>
            <w:proofErr w:type="spellEnd"/>
            <w:r w:rsidRPr="00305365">
              <w:rPr>
                <w:rFonts w:asciiTheme="minorHAnsi" w:hAnsiTheme="minorHAnsi" w:cstheme="minorHAnsi"/>
                <w:color w:val="0070C0"/>
                <w:sz w:val="22"/>
                <w:szCs w:val="22"/>
              </w:rPr>
              <w:t>, unless stated otherwise)</w:t>
            </w:r>
          </w:p>
        </w:tc>
      </w:tr>
      <w:tr w:rsidR="005D1848" w:rsidRPr="00305365" w:rsidTr="005D1848">
        <w:tc>
          <w:tcPr>
            <w:tcW w:w="4957" w:type="dxa"/>
            <w:tcBorders>
              <w:bottom w:val="nil"/>
            </w:tcBorders>
            <w:vAlign w:val="bottom"/>
          </w:tcPr>
          <w:p w:rsidR="005D1848" w:rsidRPr="00305365" w:rsidRDefault="005D1848" w:rsidP="005D1848">
            <w:pPr>
              <w:bidi w:val="0"/>
              <w:rPr>
                <w:rFonts w:asciiTheme="minorHAnsi" w:hAnsiTheme="minorHAnsi" w:cstheme="minorHAnsi"/>
                <w:sz w:val="20"/>
                <w:szCs w:val="20"/>
              </w:rPr>
            </w:pPr>
          </w:p>
        </w:tc>
        <w:tc>
          <w:tcPr>
            <w:tcW w:w="1134" w:type="dxa"/>
            <w:tcBorders>
              <w:left w:val="single" w:sz="4" w:space="0" w:color="auto"/>
              <w:bottom w:val="nil"/>
              <w:right w:val="nil"/>
            </w:tcBorders>
            <w:shd w:val="clear" w:color="auto" w:fill="auto"/>
          </w:tcPr>
          <w:p w:rsidR="005D1848" w:rsidRPr="00305365" w:rsidRDefault="005D1848"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2023</w:t>
            </w:r>
          </w:p>
          <w:p w:rsidR="005D1848" w:rsidRPr="00305365" w:rsidRDefault="005D1848"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Actual</w:t>
            </w:r>
          </w:p>
        </w:tc>
        <w:tc>
          <w:tcPr>
            <w:tcW w:w="1134" w:type="dxa"/>
            <w:tcBorders>
              <w:left w:val="single" w:sz="4" w:space="0" w:color="auto"/>
              <w:bottom w:val="nil"/>
              <w:right w:val="nil"/>
            </w:tcBorders>
            <w:shd w:val="clear" w:color="auto" w:fill="auto"/>
          </w:tcPr>
          <w:p w:rsidR="005D1848" w:rsidRPr="00305365" w:rsidRDefault="005D1848"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Forecast for 2024</w:t>
            </w:r>
          </w:p>
        </w:tc>
        <w:tc>
          <w:tcPr>
            <w:tcW w:w="1134" w:type="dxa"/>
            <w:tcBorders>
              <w:left w:val="nil"/>
              <w:bottom w:val="single" w:sz="4" w:space="0" w:color="auto"/>
              <w:right w:val="single" w:sz="4" w:space="0" w:color="auto"/>
            </w:tcBorders>
            <w:shd w:val="clear" w:color="auto" w:fill="C6D9F1" w:themeFill="text2" w:themeFillTint="33"/>
          </w:tcPr>
          <w:p w:rsidR="005D1848" w:rsidRPr="00305365" w:rsidRDefault="005D1848" w:rsidP="002405BC">
            <w:pPr>
              <w:bidi w:val="0"/>
              <w:jc w:val="center"/>
              <w:rPr>
                <w:rFonts w:asciiTheme="minorHAnsi" w:hAnsiTheme="minorHAnsi" w:cstheme="minorHAnsi"/>
                <w:sz w:val="20"/>
                <w:szCs w:val="20"/>
              </w:rPr>
            </w:pPr>
            <w:r w:rsidRPr="00305365">
              <w:rPr>
                <w:rFonts w:asciiTheme="minorHAnsi" w:hAnsiTheme="minorHAnsi" w:cstheme="minorHAnsi"/>
                <w:sz w:val="20"/>
                <w:szCs w:val="20"/>
              </w:rPr>
              <w:t xml:space="preserve">Change from the  </w:t>
            </w:r>
            <w:r w:rsidR="005B7FE0" w:rsidRPr="00305365">
              <w:rPr>
                <w:rFonts w:asciiTheme="minorHAnsi" w:hAnsiTheme="minorHAnsi" w:cstheme="minorHAnsi"/>
              </w:rPr>
              <w:t xml:space="preserve"> </w:t>
            </w:r>
            <w:r w:rsidR="002405BC" w:rsidRPr="00305365">
              <w:rPr>
                <w:rFonts w:asciiTheme="minorHAnsi" w:hAnsiTheme="minorHAnsi" w:cstheme="minorHAnsi"/>
                <w:sz w:val="20"/>
                <w:szCs w:val="20"/>
              </w:rPr>
              <w:t>Jul</w:t>
            </w:r>
            <w:r w:rsidR="005B7FE0" w:rsidRPr="00305365">
              <w:rPr>
                <w:rFonts w:asciiTheme="minorHAnsi" w:hAnsiTheme="minorHAnsi" w:cstheme="minorHAnsi"/>
                <w:sz w:val="20"/>
                <w:szCs w:val="20"/>
              </w:rPr>
              <w:t xml:space="preserve">y </w:t>
            </w:r>
            <w:r w:rsidRPr="00305365">
              <w:rPr>
                <w:rFonts w:asciiTheme="minorHAnsi" w:hAnsiTheme="minorHAnsi" w:cstheme="minorHAnsi"/>
                <w:sz w:val="20"/>
                <w:szCs w:val="20"/>
              </w:rPr>
              <w:t>forecast</w:t>
            </w:r>
          </w:p>
        </w:tc>
        <w:tc>
          <w:tcPr>
            <w:tcW w:w="1275" w:type="dxa"/>
            <w:tcBorders>
              <w:left w:val="nil"/>
              <w:bottom w:val="single" w:sz="4" w:space="0" w:color="auto"/>
              <w:right w:val="single" w:sz="4" w:space="0" w:color="auto"/>
            </w:tcBorders>
            <w:shd w:val="clear" w:color="auto" w:fill="auto"/>
          </w:tcPr>
          <w:p w:rsidR="005D1848" w:rsidRPr="00305365" w:rsidRDefault="005D1848"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Forecast for 2025</w:t>
            </w:r>
          </w:p>
        </w:tc>
        <w:tc>
          <w:tcPr>
            <w:tcW w:w="1134" w:type="dxa"/>
            <w:shd w:val="clear" w:color="auto" w:fill="B8CCE4" w:themeFill="accent1" w:themeFillTint="66"/>
          </w:tcPr>
          <w:p w:rsidR="005D1848" w:rsidRPr="00305365" w:rsidRDefault="005D1848" w:rsidP="002405BC">
            <w:pPr>
              <w:bidi w:val="0"/>
              <w:jc w:val="center"/>
              <w:rPr>
                <w:rFonts w:asciiTheme="minorHAnsi" w:hAnsiTheme="minorHAnsi" w:cstheme="minorHAnsi"/>
                <w:sz w:val="20"/>
                <w:szCs w:val="20"/>
              </w:rPr>
            </w:pPr>
            <w:r w:rsidRPr="00305365">
              <w:rPr>
                <w:rFonts w:asciiTheme="minorHAnsi" w:hAnsiTheme="minorHAnsi" w:cstheme="minorHAnsi"/>
                <w:sz w:val="20"/>
                <w:szCs w:val="20"/>
              </w:rPr>
              <w:t xml:space="preserve">Change from the  </w:t>
            </w:r>
            <w:r w:rsidR="005B7FE0" w:rsidRPr="00305365">
              <w:rPr>
                <w:rFonts w:asciiTheme="minorHAnsi" w:hAnsiTheme="minorHAnsi" w:cstheme="minorHAnsi"/>
              </w:rPr>
              <w:t xml:space="preserve"> </w:t>
            </w:r>
            <w:r w:rsidR="002405BC" w:rsidRPr="00305365">
              <w:rPr>
                <w:rFonts w:asciiTheme="minorHAnsi" w:hAnsiTheme="minorHAnsi" w:cstheme="minorHAnsi"/>
                <w:sz w:val="20"/>
                <w:szCs w:val="20"/>
              </w:rPr>
              <w:t>July</w:t>
            </w:r>
            <w:r w:rsidR="005B7FE0" w:rsidRPr="00305365">
              <w:rPr>
                <w:rFonts w:asciiTheme="minorHAnsi" w:hAnsiTheme="minorHAnsi" w:cstheme="minorHAnsi"/>
                <w:sz w:val="20"/>
                <w:szCs w:val="20"/>
              </w:rPr>
              <w:t xml:space="preserve"> </w:t>
            </w:r>
            <w:r w:rsidRPr="00305365">
              <w:rPr>
                <w:rFonts w:asciiTheme="minorHAnsi" w:hAnsiTheme="minorHAnsi" w:cstheme="minorHAnsi"/>
                <w:sz w:val="20"/>
                <w:szCs w:val="20"/>
              </w:rPr>
              <w:t>forecast</w:t>
            </w:r>
          </w:p>
        </w:tc>
      </w:tr>
      <w:tr w:rsidR="005D1848" w:rsidRPr="00305365" w:rsidTr="005D1848">
        <w:tc>
          <w:tcPr>
            <w:tcW w:w="4957" w:type="dxa"/>
            <w:tcBorders>
              <w:bottom w:val="single" w:sz="4" w:space="0" w:color="auto"/>
            </w:tcBorders>
            <w:vAlign w:val="bottom"/>
          </w:tcPr>
          <w:p w:rsidR="005D1848" w:rsidRPr="00305365" w:rsidRDefault="005D1848" w:rsidP="005D1848">
            <w:pPr>
              <w:bidi w:val="0"/>
              <w:rPr>
                <w:rFonts w:asciiTheme="minorHAnsi" w:hAnsiTheme="minorHAnsi" w:cstheme="minorHAnsi"/>
                <w:b/>
                <w:bCs/>
                <w:sz w:val="20"/>
                <w:szCs w:val="20"/>
              </w:rPr>
            </w:pPr>
            <w:r w:rsidRPr="00305365">
              <w:rPr>
                <w:rFonts w:asciiTheme="minorHAnsi" w:hAnsiTheme="minorHAnsi" w:cstheme="minorHAnsi"/>
                <w:b/>
                <w:bCs/>
                <w:sz w:val="20"/>
                <w:szCs w:val="20"/>
              </w:rPr>
              <w:t>GDP</w:t>
            </w:r>
          </w:p>
        </w:tc>
        <w:tc>
          <w:tcPr>
            <w:tcW w:w="1134" w:type="dxa"/>
            <w:tcBorders>
              <w:left w:val="single" w:sz="4" w:space="0" w:color="auto"/>
              <w:bottom w:val="single" w:sz="4" w:space="0" w:color="auto"/>
              <w:right w:val="nil"/>
            </w:tcBorders>
            <w:shd w:val="clear" w:color="auto" w:fill="auto"/>
          </w:tcPr>
          <w:p w:rsidR="005D1848" w:rsidRPr="00305365" w:rsidRDefault="005D1848" w:rsidP="005D1848">
            <w:pPr>
              <w:bidi w:val="0"/>
              <w:jc w:val="center"/>
              <w:rPr>
                <w:rFonts w:asciiTheme="minorHAnsi" w:hAnsiTheme="minorHAnsi" w:cstheme="minorHAnsi"/>
                <w:b/>
                <w:bCs/>
                <w:sz w:val="20"/>
                <w:szCs w:val="20"/>
              </w:rPr>
            </w:pPr>
            <w:r w:rsidRPr="00305365">
              <w:rPr>
                <w:rFonts w:asciiTheme="minorHAnsi" w:hAnsiTheme="minorHAnsi" w:cstheme="minorHAnsi"/>
                <w:b/>
                <w:bCs/>
                <w:sz w:val="20"/>
                <w:szCs w:val="20"/>
              </w:rPr>
              <w:t>2.0</w:t>
            </w:r>
          </w:p>
        </w:tc>
        <w:tc>
          <w:tcPr>
            <w:tcW w:w="1134" w:type="dxa"/>
            <w:tcBorders>
              <w:left w:val="single" w:sz="4" w:space="0" w:color="auto"/>
              <w:bottom w:val="single" w:sz="4" w:space="0" w:color="auto"/>
              <w:right w:val="nil"/>
            </w:tcBorders>
            <w:shd w:val="clear" w:color="auto" w:fill="auto"/>
          </w:tcPr>
          <w:p w:rsidR="005D1848" w:rsidRPr="00305365" w:rsidRDefault="002405BC" w:rsidP="005D1848">
            <w:pPr>
              <w:bidi w:val="0"/>
              <w:jc w:val="center"/>
              <w:rPr>
                <w:rFonts w:asciiTheme="minorHAnsi" w:hAnsiTheme="minorHAnsi" w:cstheme="minorHAnsi"/>
                <w:b/>
                <w:bCs/>
                <w:sz w:val="20"/>
                <w:szCs w:val="20"/>
              </w:rPr>
            </w:pPr>
            <w:r w:rsidRPr="00305365">
              <w:rPr>
                <w:rFonts w:asciiTheme="minorHAnsi" w:hAnsiTheme="minorHAnsi" w:cstheme="minorHAnsi"/>
                <w:b/>
                <w:bCs/>
                <w:sz w:val="20"/>
                <w:szCs w:val="20"/>
              </w:rPr>
              <w:t>0</w:t>
            </w:r>
            <w:r w:rsidR="006866C5" w:rsidRPr="00305365">
              <w:rPr>
                <w:rFonts w:asciiTheme="minorHAnsi" w:hAnsiTheme="minorHAnsi" w:cstheme="minorHAnsi"/>
                <w:b/>
                <w:bCs/>
                <w:sz w:val="20"/>
                <w:szCs w:val="20"/>
              </w:rPr>
              <w:t>.5</w:t>
            </w:r>
          </w:p>
        </w:tc>
        <w:tc>
          <w:tcPr>
            <w:tcW w:w="1134" w:type="dxa"/>
            <w:tcBorders>
              <w:left w:val="nil"/>
              <w:bottom w:val="single" w:sz="4" w:space="0" w:color="auto"/>
              <w:right w:val="single" w:sz="4" w:space="0" w:color="auto"/>
            </w:tcBorders>
            <w:shd w:val="clear" w:color="auto" w:fill="C6D9F1" w:themeFill="text2" w:themeFillTint="33"/>
          </w:tcPr>
          <w:p w:rsidR="005D1848" w:rsidRPr="00305365" w:rsidRDefault="005D1848" w:rsidP="002405BC">
            <w:pPr>
              <w:bidi w:val="0"/>
              <w:jc w:val="center"/>
              <w:rPr>
                <w:rFonts w:asciiTheme="minorHAnsi" w:hAnsiTheme="minorHAnsi" w:cstheme="minorHAnsi"/>
                <w:b/>
                <w:bCs/>
                <w:sz w:val="20"/>
                <w:szCs w:val="20"/>
              </w:rPr>
            </w:pPr>
            <w:r w:rsidRPr="00305365">
              <w:rPr>
                <w:rFonts w:asciiTheme="minorHAnsi" w:hAnsiTheme="minorHAnsi" w:cstheme="minorHAnsi"/>
                <w:b/>
                <w:bCs/>
                <w:sz w:val="20"/>
                <w:szCs w:val="20"/>
              </w:rPr>
              <w:t>-</w:t>
            </w:r>
            <w:r w:rsidR="002405BC" w:rsidRPr="00305365">
              <w:rPr>
                <w:rFonts w:asciiTheme="minorHAnsi" w:hAnsiTheme="minorHAnsi" w:cstheme="minorHAnsi"/>
                <w:b/>
                <w:bCs/>
                <w:sz w:val="20"/>
                <w:szCs w:val="20"/>
              </w:rPr>
              <w:t>1.0</w:t>
            </w:r>
          </w:p>
        </w:tc>
        <w:tc>
          <w:tcPr>
            <w:tcW w:w="1275" w:type="dxa"/>
            <w:tcBorders>
              <w:left w:val="nil"/>
              <w:bottom w:val="single" w:sz="4" w:space="0" w:color="auto"/>
              <w:right w:val="single" w:sz="4" w:space="0" w:color="auto"/>
            </w:tcBorders>
            <w:shd w:val="clear" w:color="auto" w:fill="auto"/>
          </w:tcPr>
          <w:p w:rsidR="005D1848" w:rsidRPr="00305365" w:rsidRDefault="002405BC" w:rsidP="005D1848">
            <w:pPr>
              <w:bidi w:val="0"/>
              <w:jc w:val="center"/>
              <w:rPr>
                <w:rFonts w:asciiTheme="minorHAnsi" w:hAnsiTheme="minorHAnsi" w:cstheme="minorHAnsi"/>
                <w:b/>
                <w:bCs/>
                <w:sz w:val="20"/>
                <w:szCs w:val="20"/>
              </w:rPr>
            </w:pPr>
            <w:r w:rsidRPr="00305365">
              <w:rPr>
                <w:rFonts w:asciiTheme="minorHAnsi" w:hAnsiTheme="minorHAnsi" w:cstheme="minorHAnsi"/>
                <w:b/>
                <w:bCs/>
                <w:sz w:val="20"/>
                <w:szCs w:val="20"/>
              </w:rPr>
              <w:t>3.8</w:t>
            </w:r>
          </w:p>
        </w:tc>
        <w:tc>
          <w:tcPr>
            <w:tcW w:w="1134" w:type="dxa"/>
            <w:shd w:val="clear" w:color="auto" w:fill="B8CCE4" w:themeFill="accent1" w:themeFillTint="66"/>
            <w:vAlign w:val="bottom"/>
          </w:tcPr>
          <w:p w:rsidR="005D1848" w:rsidRPr="00305365" w:rsidRDefault="005D1848" w:rsidP="002405BC">
            <w:pPr>
              <w:bidi w:val="0"/>
              <w:jc w:val="center"/>
              <w:rPr>
                <w:rFonts w:asciiTheme="minorHAnsi" w:hAnsiTheme="minorHAnsi" w:cstheme="minorHAnsi"/>
                <w:b/>
                <w:bCs/>
                <w:sz w:val="20"/>
                <w:szCs w:val="20"/>
              </w:rPr>
            </w:pPr>
            <w:r w:rsidRPr="00305365">
              <w:rPr>
                <w:rFonts w:asciiTheme="minorHAnsi" w:hAnsiTheme="minorHAnsi" w:cstheme="minorHAnsi"/>
                <w:b/>
                <w:bCs/>
                <w:sz w:val="20"/>
                <w:szCs w:val="20"/>
              </w:rPr>
              <w:t>-</w:t>
            </w:r>
            <w:r w:rsidR="006866C5" w:rsidRPr="00305365">
              <w:rPr>
                <w:rFonts w:asciiTheme="minorHAnsi" w:hAnsiTheme="minorHAnsi" w:cstheme="minorHAnsi"/>
                <w:b/>
                <w:bCs/>
                <w:sz w:val="20"/>
                <w:szCs w:val="20"/>
              </w:rPr>
              <w:t>0.</w:t>
            </w:r>
            <w:r w:rsidR="002405BC" w:rsidRPr="00305365">
              <w:rPr>
                <w:rFonts w:asciiTheme="minorHAnsi" w:hAnsiTheme="minorHAnsi" w:cstheme="minorHAnsi"/>
                <w:b/>
                <w:bCs/>
                <w:sz w:val="20"/>
                <w:szCs w:val="20"/>
              </w:rPr>
              <w:t>4</w:t>
            </w:r>
          </w:p>
        </w:tc>
      </w:tr>
      <w:tr w:rsidR="005D1848" w:rsidRPr="00305365" w:rsidTr="005D1848">
        <w:tc>
          <w:tcPr>
            <w:tcW w:w="4957" w:type="dxa"/>
            <w:tcBorders>
              <w:bottom w:val="single" w:sz="4" w:space="0" w:color="auto"/>
            </w:tcBorders>
            <w:vAlign w:val="bottom"/>
          </w:tcPr>
          <w:p w:rsidR="005D1848" w:rsidRPr="00305365" w:rsidRDefault="005D1848" w:rsidP="005D1848">
            <w:pPr>
              <w:bidi w:val="0"/>
              <w:rPr>
                <w:rFonts w:asciiTheme="minorHAnsi" w:hAnsiTheme="minorHAnsi" w:cstheme="minorHAnsi"/>
                <w:sz w:val="20"/>
                <w:szCs w:val="20"/>
              </w:rPr>
            </w:pPr>
            <w:r w:rsidRPr="00305365">
              <w:rPr>
                <w:rFonts w:asciiTheme="minorHAnsi" w:hAnsiTheme="minorHAnsi" w:cstheme="minorHAnsi"/>
                <w:sz w:val="20"/>
                <w:szCs w:val="20"/>
              </w:rPr>
              <w:t>Private consumption</w:t>
            </w:r>
          </w:p>
        </w:tc>
        <w:tc>
          <w:tcPr>
            <w:tcW w:w="1134" w:type="dxa"/>
            <w:tcBorders>
              <w:left w:val="single" w:sz="4" w:space="0" w:color="auto"/>
              <w:bottom w:val="single" w:sz="4" w:space="0" w:color="auto"/>
              <w:right w:val="nil"/>
            </w:tcBorders>
            <w:shd w:val="clear" w:color="auto" w:fill="auto"/>
          </w:tcPr>
          <w:p w:rsidR="005D1848" w:rsidRPr="00305365" w:rsidRDefault="00422142" w:rsidP="002405BC">
            <w:pPr>
              <w:bidi w:val="0"/>
              <w:jc w:val="center"/>
              <w:rPr>
                <w:rFonts w:asciiTheme="minorHAnsi" w:hAnsiTheme="minorHAnsi" w:cstheme="minorHAnsi"/>
                <w:sz w:val="20"/>
                <w:szCs w:val="20"/>
              </w:rPr>
            </w:pPr>
            <w:r w:rsidRPr="00305365">
              <w:rPr>
                <w:rFonts w:asciiTheme="minorHAnsi" w:hAnsiTheme="minorHAnsi" w:cstheme="minorHAnsi"/>
                <w:sz w:val="20"/>
                <w:szCs w:val="20"/>
              </w:rPr>
              <w:t>-0.9</w:t>
            </w:r>
          </w:p>
        </w:tc>
        <w:tc>
          <w:tcPr>
            <w:tcW w:w="1134" w:type="dxa"/>
            <w:tcBorders>
              <w:left w:val="single" w:sz="4" w:space="0" w:color="auto"/>
              <w:bottom w:val="single" w:sz="4" w:space="0" w:color="auto"/>
              <w:right w:val="nil"/>
            </w:tcBorders>
            <w:shd w:val="clear" w:color="auto" w:fill="auto"/>
          </w:tcPr>
          <w:p w:rsidR="005D1848" w:rsidRPr="00305365" w:rsidRDefault="002405BC"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3</w:t>
            </w:r>
            <w:r w:rsidR="006866C5" w:rsidRPr="00305365">
              <w:rPr>
                <w:rFonts w:asciiTheme="minorHAnsi" w:hAnsiTheme="minorHAnsi" w:cstheme="minorHAnsi"/>
                <w:sz w:val="20"/>
                <w:szCs w:val="20"/>
              </w:rPr>
              <w:t>.0</w:t>
            </w:r>
          </w:p>
        </w:tc>
        <w:tc>
          <w:tcPr>
            <w:tcW w:w="1134" w:type="dxa"/>
            <w:tcBorders>
              <w:left w:val="nil"/>
              <w:bottom w:val="single" w:sz="4" w:space="0" w:color="auto"/>
              <w:right w:val="single" w:sz="4" w:space="0" w:color="auto"/>
            </w:tcBorders>
            <w:shd w:val="clear" w:color="auto" w:fill="C6D9F1" w:themeFill="text2" w:themeFillTint="33"/>
          </w:tcPr>
          <w:p w:rsidR="005D1848" w:rsidRPr="00305365" w:rsidRDefault="002405BC" w:rsidP="006866C5">
            <w:pPr>
              <w:bidi w:val="0"/>
              <w:jc w:val="center"/>
              <w:rPr>
                <w:rFonts w:asciiTheme="minorHAnsi" w:hAnsiTheme="minorHAnsi" w:cstheme="minorHAnsi"/>
                <w:sz w:val="20"/>
                <w:szCs w:val="20"/>
              </w:rPr>
            </w:pPr>
            <w:r w:rsidRPr="00305365">
              <w:rPr>
                <w:rFonts w:asciiTheme="minorHAnsi" w:hAnsiTheme="minorHAnsi" w:cstheme="minorHAnsi"/>
                <w:sz w:val="20"/>
                <w:szCs w:val="20"/>
              </w:rPr>
              <w:t>1.0</w:t>
            </w:r>
          </w:p>
        </w:tc>
        <w:tc>
          <w:tcPr>
            <w:tcW w:w="1275" w:type="dxa"/>
            <w:tcBorders>
              <w:left w:val="nil"/>
              <w:bottom w:val="single" w:sz="4" w:space="0" w:color="auto"/>
              <w:right w:val="single" w:sz="4" w:space="0" w:color="auto"/>
            </w:tcBorders>
            <w:shd w:val="clear" w:color="auto" w:fill="auto"/>
          </w:tcPr>
          <w:p w:rsidR="005D1848" w:rsidRPr="00305365" w:rsidRDefault="002405BC" w:rsidP="006866C5">
            <w:pPr>
              <w:bidi w:val="0"/>
              <w:jc w:val="center"/>
              <w:rPr>
                <w:rFonts w:asciiTheme="minorHAnsi" w:hAnsiTheme="minorHAnsi" w:cstheme="minorHAnsi"/>
                <w:sz w:val="20"/>
                <w:szCs w:val="20"/>
              </w:rPr>
            </w:pPr>
            <w:r w:rsidRPr="00305365">
              <w:rPr>
                <w:rFonts w:asciiTheme="minorHAnsi" w:hAnsiTheme="minorHAnsi" w:cstheme="minorHAnsi"/>
                <w:sz w:val="20"/>
                <w:szCs w:val="20"/>
              </w:rPr>
              <w:t>7</w:t>
            </w:r>
            <w:r w:rsidR="00FA56BE" w:rsidRPr="00305365">
              <w:rPr>
                <w:rFonts w:asciiTheme="minorHAnsi" w:hAnsiTheme="minorHAnsi" w:cstheme="minorHAnsi"/>
                <w:sz w:val="20"/>
                <w:szCs w:val="20"/>
              </w:rPr>
              <w:t>.</w:t>
            </w:r>
            <w:r w:rsidR="006866C5" w:rsidRPr="00305365">
              <w:rPr>
                <w:rFonts w:asciiTheme="minorHAnsi" w:hAnsiTheme="minorHAnsi" w:cstheme="minorHAnsi"/>
                <w:sz w:val="20"/>
                <w:szCs w:val="20"/>
              </w:rPr>
              <w:t>0</w:t>
            </w:r>
          </w:p>
        </w:tc>
        <w:tc>
          <w:tcPr>
            <w:tcW w:w="1134" w:type="dxa"/>
            <w:shd w:val="clear" w:color="auto" w:fill="B8CCE4" w:themeFill="accent1" w:themeFillTint="66"/>
            <w:vAlign w:val="bottom"/>
          </w:tcPr>
          <w:p w:rsidR="005D1848" w:rsidRPr="00305365" w:rsidRDefault="002405BC"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2.0</w:t>
            </w:r>
          </w:p>
        </w:tc>
      </w:tr>
      <w:tr w:rsidR="005D1848" w:rsidRPr="00305365" w:rsidTr="005D1848">
        <w:tc>
          <w:tcPr>
            <w:tcW w:w="4957" w:type="dxa"/>
            <w:tcBorders>
              <w:bottom w:val="single" w:sz="4" w:space="0" w:color="auto"/>
            </w:tcBorders>
            <w:vAlign w:val="bottom"/>
          </w:tcPr>
          <w:p w:rsidR="005D1848" w:rsidRPr="00305365" w:rsidRDefault="005D1848" w:rsidP="005D1848">
            <w:pPr>
              <w:bidi w:val="0"/>
              <w:rPr>
                <w:rFonts w:asciiTheme="minorHAnsi" w:hAnsiTheme="minorHAnsi" w:cstheme="minorHAnsi"/>
                <w:sz w:val="20"/>
                <w:szCs w:val="20"/>
              </w:rPr>
            </w:pPr>
            <w:r w:rsidRPr="00305365">
              <w:rPr>
                <w:rFonts w:asciiTheme="minorHAnsi" w:hAnsiTheme="minorHAnsi" w:cstheme="minorHAnsi"/>
                <w:sz w:val="20"/>
                <w:szCs w:val="20"/>
              </w:rPr>
              <w:t>Fixed capital formation (excl. ships and aircraft)</w:t>
            </w:r>
          </w:p>
        </w:tc>
        <w:tc>
          <w:tcPr>
            <w:tcW w:w="1134" w:type="dxa"/>
            <w:tcBorders>
              <w:left w:val="single" w:sz="4" w:space="0" w:color="auto"/>
              <w:bottom w:val="single" w:sz="4" w:space="0" w:color="auto"/>
              <w:right w:val="nil"/>
            </w:tcBorders>
            <w:shd w:val="clear" w:color="auto" w:fill="auto"/>
          </w:tcPr>
          <w:p w:rsidR="005D1848" w:rsidRPr="00305365" w:rsidRDefault="002405BC" w:rsidP="006866C5">
            <w:pPr>
              <w:bidi w:val="0"/>
              <w:jc w:val="center"/>
              <w:rPr>
                <w:rFonts w:asciiTheme="minorHAnsi" w:hAnsiTheme="minorHAnsi" w:cstheme="minorHAnsi"/>
                <w:sz w:val="20"/>
                <w:szCs w:val="20"/>
              </w:rPr>
            </w:pPr>
            <w:r w:rsidRPr="00305365">
              <w:rPr>
                <w:rFonts w:asciiTheme="minorHAnsi" w:hAnsiTheme="minorHAnsi" w:cstheme="minorHAnsi"/>
                <w:sz w:val="20"/>
                <w:szCs w:val="20"/>
              </w:rPr>
              <w:t>-2.0</w:t>
            </w:r>
          </w:p>
        </w:tc>
        <w:tc>
          <w:tcPr>
            <w:tcW w:w="1134" w:type="dxa"/>
            <w:tcBorders>
              <w:left w:val="single" w:sz="4" w:space="0" w:color="auto"/>
              <w:bottom w:val="single" w:sz="4" w:space="0" w:color="auto"/>
              <w:right w:val="nil"/>
            </w:tcBorders>
            <w:shd w:val="clear" w:color="auto" w:fill="auto"/>
          </w:tcPr>
          <w:p w:rsidR="005D1848" w:rsidRPr="00305365" w:rsidRDefault="00FA56BE" w:rsidP="002405BC">
            <w:pPr>
              <w:bidi w:val="0"/>
              <w:jc w:val="center"/>
              <w:rPr>
                <w:rFonts w:asciiTheme="minorHAnsi" w:hAnsiTheme="minorHAnsi" w:cstheme="minorHAnsi"/>
                <w:sz w:val="20"/>
                <w:szCs w:val="20"/>
              </w:rPr>
            </w:pPr>
            <w:r w:rsidRPr="00305365">
              <w:rPr>
                <w:rFonts w:asciiTheme="minorHAnsi" w:hAnsiTheme="minorHAnsi" w:cstheme="minorHAnsi"/>
                <w:sz w:val="20"/>
                <w:szCs w:val="20"/>
              </w:rPr>
              <w:t>-</w:t>
            </w:r>
            <w:r w:rsidR="002405BC" w:rsidRPr="00305365">
              <w:rPr>
                <w:rFonts w:asciiTheme="minorHAnsi" w:hAnsiTheme="minorHAnsi" w:cstheme="minorHAnsi"/>
                <w:sz w:val="20"/>
                <w:szCs w:val="20"/>
              </w:rPr>
              <w:t>10</w:t>
            </w:r>
            <w:r w:rsidR="006866C5" w:rsidRPr="00305365">
              <w:rPr>
                <w:rFonts w:asciiTheme="minorHAnsi" w:hAnsiTheme="minorHAnsi" w:cstheme="minorHAnsi"/>
                <w:sz w:val="20"/>
                <w:szCs w:val="20"/>
              </w:rPr>
              <w:t>.0</w:t>
            </w:r>
          </w:p>
        </w:tc>
        <w:tc>
          <w:tcPr>
            <w:tcW w:w="1134" w:type="dxa"/>
            <w:tcBorders>
              <w:left w:val="nil"/>
              <w:bottom w:val="single" w:sz="4" w:space="0" w:color="auto"/>
              <w:right w:val="single" w:sz="4" w:space="0" w:color="auto"/>
            </w:tcBorders>
            <w:shd w:val="clear" w:color="auto" w:fill="C6D9F1" w:themeFill="text2" w:themeFillTint="33"/>
          </w:tcPr>
          <w:p w:rsidR="005D1848" w:rsidRPr="00305365" w:rsidRDefault="00FA56BE" w:rsidP="002405BC">
            <w:pPr>
              <w:bidi w:val="0"/>
              <w:jc w:val="center"/>
              <w:rPr>
                <w:rFonts w:asciiTheme="minorHAnsi" w:hAnsiTheme="minorHAnsi" w:cstheme="minorHAnsi"/>
                <w:sz w:val="20"/>
                <w:szCs w:val="20"/>
              </w:rPr>
            </w:pPr>
            <w:r w:rsidRPr="00305365">
              <w:rPr>
                <w:rFonts w:asciiTheme="minorHAnsi" w:hAnsiTheme="minorHAnsi" w:cstheme="minorHAnsi"/>
                <w:sz w:val="20"/>
                <w:szCs w:val="20"/>
              </w:rPr>
              <w:t>-</w:t>
            </w:r>
            <w:r w:rsidR="002405BC" w:rsidRPr="00305365">
              <w:rPr>
                <w:rFonts w:asciiTheme="minorHAnsi" w:hAnsiTheme="minorHAnsi" w:cstheme="minorHAnsi"/>
                <w:sz w:val="20"/>
                <w:szCs w:val="20"/>
              </w:rPr>
              <w:t>1.0</w:t>
            </w:r>
          </w:p>
        </w:tc>
        <w:tc>
          <w:tcPr>
            <w:tcW w:w="1275" w:type="dxa"/>
            <w:tcBorders>
              <w:left w:val="nil"/>
              <w:bottom w:val="single" w:sz="4" w:space="0" w:color="auto"/>
              <w:right w:val="single" w:sz="4" w:space="0" w:color="auto"/>
            </w:tcBorders>
            <w:shd w:val="clear" w:color="auto" w:fill="auto"/>
          </w:tcPr>
          <w:p w:rsidR="005D1848" w:rsidRPr="00305365" w:rsidRDefault="002405BC"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12</w:t>
            </w:r>
            <w:r w:rsidR="006866C5" w:rsidRPr="00305365">
              <w:rPr>
                <w:rFonts w:asciiTheme="minorHAnsi" w:hAnsiTheme="minorHAnsi" w:cstheme="minorHAnsi"/>
                <w:sz w:val="20"/>
                <w:szCs w:val="20"/>
              </w:rPr>
              <w:t>.0</w:t>
            </w:r>
          </w:p>
        </w:tc>
        <w:tc>
          <w:tcPr>
            <w:tcW w:w="1134" w:type="dxa"/>
            <w:shd w:val="clear" w:color="auto" w:fill="B8CCE4" w:themeFill="accent1" w:themeFillTint="66"/>
            <w:vAlign w:val="bottom"/>
          </w:tcPr>
          <w:p w:rsidR="005D1848" w:rsidRPr="00305365" w:rsidRDefault="002405BC" w:rsidP="006866C5">
            <w:pPr>
              <w:bidi w:val="0"/>
              <w:jc w:val="center"/>
              <w:rPr>
                <w:rFonts w:asciiTheme="minorHAnsi" w:hAnsiTheme="minorHAnsi" w:cstheme="minorHAnsi"/>
                <w:sz w:val="20"/>
                <w:szCs w:val="20"/>
              </w:rPr>
            </w:pPr>
            <w:r w:rsidRPr="00305365">
              <w:rPr>
                <w:rFonts w:asciiTheme="minorHAnsi" w:hAnsiTheme="minorHAnsi" w:cstheme="minorHAnsi"/>
                <w:sz w:val="20"/>
                <w:szCs w:val="20"/>
              </w:rPr>
              <w:t>4.0</w:t>
            </w:r>
          </w:p>
        </w:tc>
      </w:tr>
      <w:tr w:rsidR="005D1848" w:rsidRPr="00305365" w:rsidTr="005D1848">
        <w:tc>
          <w:tcPr>
            <w:tcW w:w="4957" w:type="dxa"/>
            <w:tcBorders>
              <w:bottom w:val="single" w:sz="4" w:space="0" w:color="auto"/>
            </w:tcBorders>
            <w:vAlign w:val="bottom"/>
          </w:tcPr>
          <w:p w:rsidR="005D1848" w:rsidRPr="00305365" w:rsidRDefault="005D1848" w:rsidP="005D1848">
            <w:pPr>
              <w:bidi w:val="0"/>
              <w:rPr>
                <w:rFonts w:asciiTheme="minorHAnsi" w:hAnsiTheme="minorHAnsi" w:cstheme="minorHAnsi"/>
                <w:sz w:val="20"/>
                <w:szCs w:val="20"/>
              </w:rPr>
            </w:pPr>
            <w:r w:rsidRPr="00305365">
              <w:rPr>
                <w:rFonts w:asciiTheme="minorHAnsi" w:hAnsiTheme="minorHAnsi" w:cstheme="minorHAnsi"/>
                <w:sz w:val="20"/>
                <w:szCs w:val="20"/>
              </w:rPr>
              <w:t>Public consumption (excl. defense imports)</w:t>
            </w:r>
          </w:p>
        </w:tc>
        <w:tc>
          <w:tcPr>
            <w:tcW w:w="1134" w:type="dxa"/>
            <w:tcBorders>
              <w:left w:val="single" w:sz="4" w:space="0" w:color="auto"/>
              <w:bottom w:val="single" w:sz="4" w:space="0" w:color="auto"/>
              <w:right w:val="nil"/>
            </w:tcBorders>
            <w:shd w:val="clear" w:color="auto" w:fill="auto"/>
          </w:tcPr>
          <w:p w:rsidR="005D1848" w:rsidRPr="00305365" w:rsidRDefault="005D1848"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7.2</w:t>
            </w:r>
          </w:p>
        </w:tc>
        <w:tc>
          <w:tcPr>
            <w:tcW w:w="1134" w:type="dxa"/>
            <w:tcBorders>
              <w:left w:val="single" w:sz="4" w:space="0" w:color="auto"/>
              <w:bottom w:val="single" w:sz="4" w:space="0" w:color="auto"/>
              <w:right w:val="nil"/>
            </w:tcBorders>
            <w:shd w:val="clear" w:color="auto" w:fill="auto"/>
          </w:tcPr>
          <w:p w:rsidR="005D1848" w:rsidRPr="00305365" w:rsidRDefault="002405BC"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13.0</w:t>
            </w:r>
          </w:p>
        </w:tc>
        <w:tc>
          <w:tcPr>
            <w:tcW w:w="1134" w:type="dxa"/>
            <w:tcBorders>
              <w:left w:val="nil"/>
              <w:bottom w:val="single" w:sz="4" w:space="0" w:color="auto"/>
              <w:right w:val="single" w:sz="4" w:space="0" w:color="auto"/>
            </w:tcBorders>
            <w:shd w:val="clear" w:color="auto" w:fill="C6D9F1" w:themeFill="text2" w:themeFillTint="33"/>
          </w:tcPr>
          <w:p w:rsidR="005D1848" w:rsidRPr="00305365" w:rsidRDefault="00422142" w:rsidP="00422142">
            <w:pPr>
              <w:bidi w:val="0"/>
              <w:jc w:val="center"/>
              <w:rPr>
                <w:rFonts w:asciiTheme="minorHAnsi" w:hAnsiTheme="minorHAnsi" w:cstheme="minorHAnsi"/>
                <w:sz w:val="20"/>
                <w:szCs w:val="20"/>
              </w:rPr>
            </w:pPr>
            <w:r w:rsidRPr="00305365">
              <w:rPr>
                <w:rFonts w:asciiTheme="minorHAnsi" w:hAnsiTheme="minorHAnsi" w:cstheme="minorHAnsi"/>
                <w:sz w:val="20"/>
                <w:szCs w:val="20"/>
              </w:rPr>
              <w:t>5.0</w:t>
            </w:r>
          </w:p>
        </w:tc>
        <w:tc>
          <w:tcPr>
            <w:tcW w:w="1275" w:type="dxa"/>
            <w:tcBorders>
              <w:left w:val="nil"/>
              <w:bottom w:val="single" w:sz="4" w:space="0" w:color="auto"/>
              <w:right w:val="single" w:sz="4" w:space="0" w:color="auto"/>
            </w:tcBorders>
            <w:shd w:val="clear" w:color="auto" w:fill="auto"/>
          </w:tcPr>
          <w:p w:rsidR="005D1848" w:rsidRPr="00305365" w:rsidRDefault="00FA56BE" w:rsidP="00004767">
            <w:pPr>
              <w:bidi w:val="0"/>
              <w:jc w:val="center"/>
              <w:rPr>
                <w:rFonts w:asciiTheme="minorHAnsi" w:hAnsiTheme="minorHAnsi" w:cstheme="minorHAnsi"/>
                <w:sz w:val="20"/>
                <w:szCs w:val="20"/>
              </w:rPr>
            </w:pPr>
            <w:r w:rsidRPr="00305365">
              <w:rPr>
                <w:rFonts w:asciiTheme="minorHAnsi" w:hAnsiTheme="minorHAnsi" w:cstheme="minorHAnsi"/>
                <w:sz w:val="20"/>
                <w:szCs w:val="20"/>
              </w:rPr>
              <w:t>-</w:t>
            </w:r>
            <w:r w:rsidR="006866C5" w:rsidRPr="00305365">
              <w:rPr>
                <w:rFonts w:asciiTheme="minorHAnsi" w:hAnsiTheme="minorHAnsi" w:cstheme="minorHAnsi"/>
                <w:sz w:val="20"/>
                <w:szCs w:val="20"/>
              </w:rPr>
              <w:t>4.</w:t>
            </w:r>
            <w:r w:rsidR="00004767" w:rsidRPr="00305365">
              <w:rPr>
                <w:rFonts w:asciiTheme="minorHAnsi" w:hAnsiTheme="minorHAnsi" w:cstheme="minorHAnsi"/>
                <w:sz w:val="20"/>
                <w:szCs w:val="20"/>
              </w:rPr>
              <w:t>0</w:t>
            </w:r>
          </w:p>
        </w:tc>
        <w:tc>
          <w:tcPr>
            <w:tcW w:w="1134" w:type="dxa"/>
            <w:shd w:val="clear" w:color="auto" w:fill="B8CCE4" w:themeFill="accent1" w:themeFillTint="66"/>
            <w:vAlign w:val="bottom"/>
          </w:tcPr>
          <w:p w:rsidR="005D1848" w:rsidRPr="00305365" w:rsidRDefault="00422142" w:rsidP="00422142">
            <w:pPr>
              <w:bidi w:val="0"/>
              <w:jc w:val="center"/>
              <w:rPr>
                <w:rFonts w:asciiTheme="minorHAnsi" w:hAnsiTheme="minorHAnsi" w:cstheme="minorHAnsi"/>
                <w:sz w:val="20"/>
                <w:szCs w:val="20"/>
              </w:rPr>
            </w:pPr>
            <w:r w:rsidRPr="00305365">
              <w:rPr>
                <w:rFonts w:asciiTheme="minorHAnsi" w:hAnsiTheme="minorHAnsi" w:cstheme="minorHAnsi"/>
                <w:sz w:val="20"/>
                <w:szCs w:val="20"/>
              </w:rPr>
              <w:t>1</w:t>
            </w:r>
            <w:r w:rsidR="00004767" w:rsidRPr="00305365">
              <w:rPr>
                <w:rFonts w:asciiTheme="minorHAnsi" w:hAnsiTheme="minorHAnsi" w:cstheme="minorHAnsi"/>
                <w:sz w:val="20"/>
                <w:szCs w:val="20"/>
              </w:rPr>
              <w:t>.</w:t>
            </w:r>
            <w:r w:rsidR="00FA56BE" w:rsidRPr="00305365">
              <w:rPr>
                <w:rFonts w:asciiTheme="minorHAnsi" w:hAnsiTheme="minorHAnsi" w:cstheme="minorHAnsi"/>
                <w:sz w:val="20"/>
                <w:szCs w:val="20"/>
              </w:rPr>
              <w:t>5</w:t>
            </w:r>
          </w:p>
        </w:tc>
      </w:tr>
      <w:tr w:rsidR="005D1848" w:rsidRPr="00305365" w:rsidTr="005D1848">
        <w:tc>
          <w:tcPr>
            <w:tcW w:w="4957" w:type="dxa"/>
            <w:tcBorders>
              <w:bottom w:val="single" w:sz="4" w:space="0" w:color="auto"/>
            </w:tcBorders>
            <w:vAlign w:val="bottom"/>
          </w:tcPr>
          <w:p w:rsidR="005D1848" w:rsidRPr="00305365" w:rsidRDefault="005D1848" w:rsidP="005D1848">
            <w:pPr>
              <w:bidi w:val="0"/>
              <w:rPr>
                <w:rFonts w:asciiTheme="minorHAnsi" w:hAnsiTheme="minorHAnsi" w:cstheme="minorHAnsi"/>
                <w:sz w:val="20"/>
                <w:szCs w:val="20"/>
              </w:rPr>
            </w:pPr>
            <w:r w:rsidRPr="00305365">
              <w:rPr>
                <w:rFonts w:asciiTheme="minorHAnsi" w:hAnsiTheme="minorHAnsi" w:cstheme="minorHAnsi"/>
                <w:sz w:val="20"/>
                <w:szCs w:val="20"/>
              </w:rPr>
              <w:t>Exports (excl. diamonds and startups)</w:t>
            </w:r>
          </w:p>
        </w:tc>
        <w:tc>
          <w:tcPr>
            <w:tcW w:w="1134" w:type="dxa"/>
            <w:tcBorders>
              <w:left w:val="single" w:sz="4" w:space="0" w:color="auto"/>
              <w:bottom w:val="single" w:sz="4" w:space="0" w:color="auto"/>
              <w:right w:val="nil"/>
            </w:tcBorders>
            <w:shd w:val="clear" w:color="auto" w:fill="auto"/>
          </w:tcPr>
          <w:p w:rsidR="005D1848" w:rsidRPr="00305365" w:rsidRDefault="00422142" w:rsidP="005D1848">
            <w:pPr>
              <w:bidi w:val="0"/>
              <w:jc w:val="center"/>
              <w:rPr>
                <w:rFonts w:asciiTheme="minorHAnsi" w:hAnsiTheme="minorHAnsi" w:cstheme="minorHAnsi"/>
                <w:color w:val="FF0000"/>
                <w:sz w:val="20"/>
                <w:szCs w:val="20"/>
              </w:rPr>
            </w:pPr>
            <w:r w:rsidRPr="00305365">
              <w:rPr>
                <w:rFonts w:asciiTheme="minorHAnsi" w:hAnsiTheme="minorHAnsi" w:cstheme="minorHAnsi"/>
                <w:sz w:val="20"/>
                <w:szCs w:val="20"/>
              </w:rPr>
              <w:t>-0.2</w:t>
            </w:r>
          </w:p>
        </w:tc>
        <w:tc>
          <w:tcPr>
            <w:tcW w:w="1134" w:type="dxa"/>
            <w:tcBorders>
              <w:left w:val="single" w:sz="4" w:space="0" w:color="auto"/>
              <w:bottom w:val="single" w:sz="4" w:space="0" w:color="auto"/>
              <w:right w:val="nil"/>
            </w:tcBorders>
            <w:shd w:val="clear" w:color="auto" w:fill="auto"/>
          </w:tcPr>
          <w:p w:rsidR="005D1848" w:rsidRPr="00305365" w:rsidRDefault="00FA56BE" w:rsidP="00004767">
            <w:pPr>
              <w:bidi w:val="0"/>
              <w:jc w:val="center"/>
              <w:rPr>
                <w:rFonts w:asciiTheme="minorHAnsi" w:hAnsiTheme="minorHAnsi" w:cstheme="minorHAnsi"/>
                <w:sz w:val="20"/>
                <w:szCs w:val="20"/>
              </w:rPr>
            </w:pPr>
            <w:r w:rsidRPr="00305365">
              <w:rPr>
                <w:rFonts w:asciiTheme="minorHAnsi" w:hAnsiTheme="minorHAnsi" w:cstheme="minorHAnsi"/>
                <w:sz w:val="20"/>
                <w:szCs w:val="20"/>
              </w:rPr>
              <w:t>-</w:t>
            </w:r>
            <w:r w:rsidR="00004767" w:rsidRPr="00305365">
              <w:rPr>
                <w:rFonts w:asciiTheme="minorHAnsi" w:hAnsiTheme="minorHAnsi" w:cstheme="minorHAnsi"/>
                <w:sz w:val="20"/>
                <w:szCs w:val="20"/>
              </w:rPr>
              <w:t>6.0</w:t>
            </w:r>
          </w:p>
        </w:tc>
        <w:tc>
          <w:tcPr>
            <w:tcW w:w="1134" w:type="dxa"/>
            <w:tcBorders>
              <w:left w:val="nil"/>
              <w:bottom w:val="single" w:sz="4" w:space="0" w:color="auto"/>
              <w:right w:val="single" w:sz="4" w:space="0" w:color="auto"/>
            </w:tcBorders>
            <w:shd w:val="clear" w:color="auto" w:fill="C6D9F1" w:themeFill="text2" w:themeFillTint="33"/>
          </w:tcPr>
          <w:p w:rsidR="005D1848" w:rsidRPr="00305365" w:rsidRDefault="005D1848" w:rsidP="00004767">
            <w:pPr>
              <w:bidi w:val="0"/>
              <w:jc w:val="center"/>
              <w:rPr>
                <w:rFonts w:asciiTheme="minorHAnsi" w:hAnsiTheme="minorHAnsi" w:cstheme="minorHAnsi"/>
                <w:sz w:val="20"/>
                <w:szCs w:val="20"/>
              </w:rPr>
            </w:pPr>
            <w:r w:rsidRPr="00305365">
              <w:rPr>
                <w:rFonts w:asciiTheme="minorHAnsi" w:hAnsiTheme="minorHAnsi" w:cstheme="minorHAnsi"/>
                <w:sz w:val="20"/>
                <w:szCs w:val="20"/>
              </w:rPr>
              <w:t>-</w:t>
            </w:r>
            <w:r w:rsidR="00004767" w:rsidRPr="00305365">
              <w:rPr>
                <w:rFonts w:asciiTheme="minorHAnsi" w:hAnsiTheme="minorHAnsi" w:cstheme="minorHAnsi"/>
                <w:sz w:val="20"/>
                <w:szCs w:val="20"/>
              </w:rPr>
              <w:t>4</w:t>
            </w:r>
            <w:r w:rsidR="00FA56BE" w:rsidRPr="00305365">
              <w:rPr>
                <w:rFonts w:asciiTheme="minorHAnsi" w:hAnsiTheme="minorHAnsi" w:cstheme="minorHAnsi"/>
                <w:sz w:val="20"/>
                <w:szCs w:val="20"/>
              </w:rPr>
              <w:t>.5</w:t>
            </w:r>
          </w:p>
        </w:tc>
        <w:tc>
          <w:tcPr>
            <w:tcW w:w="1275" w:type="dxa"/>
            <w:tcBorders>
              <w:left w:val="nil"/>
              <w:bottom w:val="single" w:sz="4" w:space="0" w:color="auto"/>
              <w:right w:val="single" w:sz="4" w:space="0" w:color="auto"/>
            </w:tcBorders>
            <w:shd w:val="clear" w:color="auto" w:fill="auto"/>
          </w:tcPr>
          <w:p w:rsidR="005D1848" w:rsidRPr="00305365" w:rsidRDefault="00FA56BE" w:rsidP="006866C5">
            <w:pPr>
              <w:bidi w:val="0"/>
              <w:jc w:val="center"/>
              <w:rPr>
                <w:rFonts w:asciiTheme="minorHAnsi" w:hAnsiTheme="minorHAnsi" w:cstheme="minorHAnsi"/>
                <w:sz w:val="20"/>
                <w:szCs w:val="20"/>
              </w:rPr>
            </w:pPr>
            <w:r w:rsidRPr="00305365">
              <w:rPr>
                <w:rFonts w:asciiTheme="minorHAnsi" w:hAnsiTheme="minorHAnsi" w:cstheme="minorHAnsi"/>
                <w:sz w:val="20"/>
                <w:szCs w:val="20"/>
              </w:rPr>
              <w:t>4</w:t>
            </w:r>
            <w:r w:rsidR="005D1848" w:rsidRPr="00305365">
              <w:rPr>
                <w:rFonts w:asciiTheme="minorHAnsi" w:hAnsiTheme="minorHAnsi" w:cstheme="minorHAnsi"/>
                <w:sz w:val="20"/>
                <w:szCs w:val="20"/>
              </w:rPr>
              <w:t>.</w:t>
            </w:r>
            <w:r w:rsidR="00004767" w:rsidRPr="00305365">
              <w:rPr>
                <w:rFonts w:asciiTheme="minorHAnsi" w:hAnsiTheme="minorHAnsi" w:cstheme="minorHAnsi"/>
                <w:sz w:val="20"/>
                <w:szCs w:val="20"/>
              </w:rPr>
              <w:t>0</w:t>
            </w:r>
          </w:p>
        </w:tc>
        <w:tc>
          <w:tcPr>
            <w:tcW w:w="1134" w:type="dxa"/>
            <w:shd w:val="clear" w:color="auto" w:fill="B8CCE4" w:themeFill="accent1" w:themeFillTint="66"/>
            <w:vAlign w:val="bottom"/>
          </w:tcPr>
          <w:p w:rsidR="005D1848" w:rsidRPr="00305365" w:rsidRDefault="00056568"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w:t>
            </w:r>
            <w:r w:rsidR="005D1848" w:rsidRPr="00305365">
              <w:rPr>
                <w:rFonts w:asciiTheme="minorHAnsi" w:hAnsiTheme="minorHAnsi" w:cstheme="minorHAnsi"/>
                <w:sz w:val="20"/>
                <w:szCs w:val="20"/>
              </w:rPr>
              <w:t>0</w:t>
            </w:r>
            <w:r w:rsidR="006866C5" w:rsidRPr="00305365">
              <w:rPr>
                <w:rFonts w:asciiTheme="minorHAnsi" w:hAnsiTheme="minorHAnsi" w:cstheme="minorHAnsi"/>
                <w:sz w:val="20"/>
                <w:szCs w:val="20"/>
              </w:rPr>
              <w:t>.5</w:t>
            </w:r>
          </w:p>
        </w:tc>
      </w:tr>
      <w:tr w:rsidR="005D1848" w:rsidRPr="00305365" w:rsidTr="005D1848">
        <w:tc>
          <w:tcPr>
            <w:tcW w:w="4957" w:type="dxa"/>
            <w:tcBorders>
              <w:bottom w:val="nil"/>
            </w:tcBorders>
            <w:vAlign w:val="bottom"/>
          </w:tcPr>
          <w:p w:rsidR="005D1848" w:rsidRPr="00305365" w:rsidRDefault="005D1848" w:rsidP="005D1848">
            <w:pPr>
              <w:bidi w:val="0"/>
              <w:rPr>
                <w:rFonts w:asciiTheme="minorHAnsi" w:hAnsiTheme="minorHAnsi" w:cstheme="minorHAnsi"/>
                <w:sz w:val="20"/>
                <w:szCs w:val="20"/>
              </w:rPr>
            </w:pPr>
            <w:r w:rsidRPr="00305365">
              <w:rPr>
                <w:rFonts w:asciiTheme="minorHAnsi" w:hAnsiTheme="minorHAnsi" w:cstheme="minorHAnsi"/>
                <w:sz w:val="20"/>
                <w:szCs w:val="20"/>
              </w:rPr>
              <w:t>Civilian imports (excl. diamonds, ships, and aircraft)</w:t>
            </w:r>
          </w:p>
        </w:tc>
        <w:tc>
          <w:tcPr>
            <w:tcW w:w="1134" w:type="dxa"/>
            <w:tcBorders>
              <w:left w:val="single" w:sz="4" w:space="0" w:color="auto"/>
              <w:bottom w:val="nil"/>
              <w:right w:val="nil"/>
            </w:tcBorders>
            <w:shd w:val="clear" w:color="auto" w:fill="auto"/>
          </w:tcPr>
          <w:p w:rsidR="005D1848" w:rsidRPr="00305365" w:rsidRDefault="005D1848"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-7.2</w:t>
            </w:r>
          </w:p>
        </w:tc>
        <w:tc>
          <w:tcPr>
            <w:tcW w:w="1134" w:type="dxa"/>
            <w:tcBorders>
              <w:left w:val="single" w:sz="4" w:space="0" w:color="auto"/>
              <w:bottom w:val="nil"/>
              <w:right w:val="nil"/>
            </w:tcBorders>
            <w:shd w:val="clear" w:color="auto" w:fill="auto"/>
          </w:tcPr>
          <w:p w:rsidR="005D1848" w:rsidRPr="00305365" w:rsidRDefault="00FA56BE" w:rsidP="006866C5">
            <w:pPr>
              <w:bidi w:val="0"/>
              <w:jc w:val="center"/>
              <w:rPr>
                <w:rFonts w:asciiTheme="minorHAnsi" w:hAnsiTheme="minorHAnsi" w:cstheme="minorHAnsi"/>
                <w:sz w:val="20"/>
                <w:szCs w:val="20"/>
              </w:rPr>
            </w:pPr>
            <w:r w:rsidRPr="00305365">
              <w:rPr>
                <w:rFonts w:asciiTheme="minorHAnsi" w:hAnsiTheme="minorHAnsi" w:cstheme="minorHAnsi"/>
                <w:sz w:val="20"/>
                <w:szCs w:val="20"/>
              </w:rPr>
              <w:t>-</w:t>
            </w:r>
            <w:r w:rsidR="00004767" w:rsidRPr="00305365">
              <w:rPr>
                <w:rFonts w:asciiTheme="minorHAnsi" w:hAnsiTheme="minorHAnsi" w:cstheme="minorHAnsi"/>
                <w:sz w:val="20"/>
                <w:szCs w:val="20"/>
              </w:rPr>
              <w:t>6</w:t>
            </w:r>
            <w:r w:rsidRPr="00305365">
              <w:rPr>
                <w:rFonts w:asciiTheme="minorHAnsi" w:hAnsiTheme="minorHAnsi" w:cstheme="minorHAnsi"/>
                <w:sz w:val="20"/>
                <w:szCs w:val="20"/>
              </w:rPr>
              <w:t>.0</w:t>
            </w:r>
          </w:p>
        </w:tc>
        <w:tc>
          <w:tcPr>
            <w:tcW w:w="1134" w:type="dxa"/>
            <w:tcBorders>
              <w:left w:val="nil"/>
              <w:bottom w:val="single" w:sz="4" w:space="0" w:color="auto"/>
              <w:right w:val="single" w:sz="4" w:space="0" w:color="auto"/>
            </w:tcBorders>
            <w:shd w:val="clear" w:color="auto" w:fill="C6D9F1" w:themeFill="text2" w:themeFillTint="33"/>
          </w:tcPr>
          <w:p w:rsidR="005D1848" w:rsidRPr="00305365" w:rsidRDefault="005D1848"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w:t>
            </w:r>
            <w:r w:rsidR="006866C5" w:rsidRPr="00305365">
              <w:rPr>
                <w:rFonts w:asciiTheme="minorHAnsi" w:hAnsiTheme="minorHAnsi" w:cstheme="minorHAnsi"/>
                <w:sz w:val="20"/>
                <w:szCs w:val="20"/>
              </w:rPr>
              <w:t>1.0</w:t>
            </w:r>
          </w:p>
        </w:tc>
        <w:tc>
          <w:tcPr>
            <w:tcW w:w="1275" w:type="dxa"/>
            <w:tcBorders>
              <w:left w:val="nil"/>
              <w:bottom w:val="single" w:sz="4" w:space="0" w:color="auto"/>
              <w:right w:val="single" w:sz="4" w:space="0" w:color="auto"/>
            </w:tcBorders>
            <w:shd w:val="clear" w:color="auto" w:fill="auto"/>
          </w:tcPr>
          <w:p w:rsidR="005D1848" w:rsidRPr="00305365" w:rsidRDefault="00004767"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11</w:t>
            </w:r>
            <w:r w:rsidR="006866C5" w:rsidRPr="00305365">
              <w:rPr>
                <w:rFonts w:asciiTheme="minorHAnsi" w:hAnsiTheme="minorHAnsi" w:cstheme="minorHAnsi"/>
                <w:sz w:val="20"/>
                <w:szCs w:val="20"/>
              </w:rPr>
              <w:t>.5</w:t>
            </w:r>
          </w:p>
        </w:tc>
        <w:tc>
          <w:tcPr>
            <w:tcW w:w="1134" w:type="dxa"/>
            <w:shd w:val="clear" w:color="auto" w:fill="B8CCE4" w:themeFill="accent1" w:themeFillTint="66"/>
            <w:vAlign w:val="bottom"/>
          </w:tcPr>
          <w:p w:rsidR="005D1848" w:rsidRPr="00305365" w:rsidRDefault="00004767" w:rsidP="006866C5">
            <w:pPr>
              <w:bidi w:val="0"/>
              <w:jc w:val="center"/>
              <w:rPr>
                <w:rFonts w:asciiTheme="minorHAnsi" w:hAnsiTheme="minorHAnsi" w:cstheme="minorHAnsi"/>
                <w:sz w:val="20"/>
                <w:szCs w:val="20"/>
              </w:rPr>
            </w:pPr>
            <w:r w:rsidRPr="00305365">
              <w:rPr>
                <w:rFonts w:asciiTheme="minorHAnsi" w:hAnsiTheme="minorHAnsi" w:cstheme="minorHAnsi"/>
                <w:sz w:val="20"/>
                <w:szCs w:val="20"/>
              </w:rPr>
              <w:t>8.0</w:t>
            </w:r>
          </w:p>
        </w:tc>
      </w:tr>
      <w:tr w:rsidR="005D1848" w:rsidRPr="00305365" w:rsidTr="005D1848">
        <w:tc>
          <w:tcPr>
            <w:tcW w:w="4957" w:type="dxa"/>
            <w:tcBorders>
              <w:top w:val="single" w:sz="4" w:space="0" w:color="auto"/>
              <w:bottom w:val="single" w:sz="4" w:space="0" w:color="auto"/>
            </w:tcBorders>
            <w:vAlign w:val="bottom"/>
          </w:tcPr>
          <w:p w:rsidR="005D1848" w:rsidRPr="00305365" w:rsidRDefault="005D1848" w:rsidP="005D1848">
            <w:pPr>
              <w:bidi w:val="0"/>
              <w:rPr>
                <w:rFonts w:asciiTheme="minorHAnsi" w:hAnsiTheme="minorHAnsi" w:cstheme="minorHAnsi"/>
                <w:sz w:val="20"/>
                <w:szCs w:val="20"/>
                <w:vertAlign w:val="superscript"/>
              </w:rPr>
            </w:pPr>
            <w:r w:rsidRPr="00305365">
              <w:rPr>
                <w:rFonts w:asciiTheme="minorHAnsi" w:hAnsiTheme="minorHAnsi" w:cstheme="minorHAnsi"/>
                <w:sz w:val="20"/>
                <w:szCs w:val="20"/>
              </w:rPr>
              <w:t>Broad unemployment rate (average for the year, ages 25–64)</w:t>
            </w:r>
            <w:r w:rsidRPr="00305365">
              <w:rPr>
                <w:rFonts w:asciiTheme="minorHAnsi" w:hAnsiTheme="minorHAnsi" w:cstheme="minorHAnsi"/>
                <w:sz w:val="20"/>
                <w:szCs w:val="20"/>
                <w:vertAlign w:val="superscript"/>
              </w:rPr>
              <w:t>b</w:t>
            </w:r>
          </w:p>
        </w:tc>
        <w:tc>
          <w:tcPr>
            <w:tcW w:w="1134" w:type="dxa"/>
            <w:tcBorders>
              <w:top w:val="single" w:sz="4" w:space="0" w:color="auto"/>
              <w:left w:val="single" w:sz="4" w:space="0" w:color="auto"/>
              <w:bottom w:val="single" w:sz="4" w:space="0" w:color="auto"/>
              <w:right w:val="nil"/>
            </w:tcBorders>
            <w:shd w:val="clear" w:color="auto" w:fill="auto"/>
          </w:tcPr>
          <w:p w:rsidR="005D1848" w:rsidRPr="00305365" w:rsidRDefault="005D1848"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4.4</w:t>
            </w:r>
          </w:p>
        </w:tc>
        <w:tc>
          <w:tcPr>
            <w:tcW w:w="1134" w:type="dxa"/>
            <w:tcBorders>
              <w:top w:val="single" w:sz="4" w:space="0" w:color="auto"/>
              <w:left w:val="single" w:sz="4" w:space="0" w:color="auto"/>
              <w:bottom w:val="single" w:sz="4" w:space="0" w:color="auto"/>
              <w:right w:val="nil"/>
            </w:tcBorders>
            <w:shd w:val="clear" w:color="auto" w:fill="auto"/>
          </w:tcPr>
          <w:p w:rsidR="005D1848" w:rsidRPr="00305365" w:rsidRDefault="00004767"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3.5</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rsidR="005D1848" w:rsidRPr="00305365" w:rsidRDefault="00004767" w:rsidP="00004767">
            <w:pPr>
              <w:bidi w:val="0"/>
              <w:jc w:val="center"/>
              <w:rPr>
                <w:rFonts w:asciiTheme="minorHAnsi" w:hAnsiTheme="minorHAnsi" w:cstheme="minorHAnsi"/>
                <w:sz w:val="20"/>
                <w:szCs w:val="20"/>
              </w:rPr>
            </w:pPr>
            <w:r w:rsidRPr="00305365">
              <w:rPr>
                <w:rFonts w:asciiTheme="minorHAnsi" w:hAnsiTheme="minorHAnsi" w:cstheme="minorHAnsi"/>
                <w:sz w:val="20"/>
                <w:szCs w:val="20"/>
              </w:rPr>
              <w:t>-</w:t>
            </w:r>
            <w:r w:rsidR="006866C5" w:rsidRPr="00305365">
              <w:rPr>
                <w:rFonts w:asciiTheme="minorHAnsi" w:hAnsiTheme="minorHAnsi" w:cstheme="minorHAnsi"/>
                <w:sz w:val="20"/>
                <w:szCs w:val="20"/>
              </w:rPr>
              <w:t>0.</w:t>
            </w:r>
            <w:r w:rsidRPr="00305365">
              <w:rPr>
                <w:rFonts w:asciiTheme="minorHAnsi" w:hAnsiTheme="minorHAnsi" w:cstheme="minorHAnsi"/>
                <w:sz w:val="20"/>
                <w:szCs w:val="20"/>
              </w:rPr>
              <w:t>5</w:t>
            </w:r>
          </w:p>
        </w:tc>
        <w:tc>
          <w:tcPr>
            <w:tcW w:w="1275" w:type="dxa"/>
            <w:tcBorders>
              <w:top w:val="single" w:sz="4" w:space="0" w:color="auto"/>
              <w:left w:val="nil"/>
              <w:bottom w:val="single" w:sz="4" w:space="0" w:color="auto"/>
              <w:right w:val="single" w:sz="4" w:space="0" w:color="auto"/>
            </w:tcBorders>
            <w:shd w:val="clear" w:color="auto" w:fill="auto"/>
          </w:tcPr>
          <w:p w:rsidR="005D1848" w:rsidRPr="00305365" w:rsidRDefault="005D1848" w:rsidP="00004767">
            <w:pPr>
              <w:bidi w:val="0"/>
              <w:jc w:val="center"/>
              <w:rPr>
                <w:rFonts w:asciiTheme="minorHAnsi" w:hAnsiTheme="minorHAnsi" w:cstheme="minorHAnsi"/>
                <w:sz w:val="20"/>
                <w:szCs w:val="20"/>
              </w:rPr>
            </w:pPr>
            <w:r w:rsidRPr="00305365">
              <w:rPr>
                <w:rFonts w:asciiTheme="minorHAnsi" w:hAnsiTheme="minorHAnsi" w:cstheme="minorHAnsi"/>
                <w:sz w:val="20"/>
                <w:szCs w:val="20"/>
              </w:rPr>
              <w:t>3.</w:t>
            </w:r>
            <w:r w:rsidR="00004767" w:rsidRPr="00305365">
              <w:rPr>
                <w:rFonts w:asciiTheme="minorHAnsi" w:hAnsiTheme="minorHAnsi" w:cstheme="minorHAnsi"/>
                <w:sz w:val="20"/>
                <w:szCs w:val="20"/>
              </w:rPr>
              <w:t>2</w:t>
            </w:r>
          </w:p>
        </w:tc>
        <w:tc>
          <w:tcPr>
            <w:tcW w:w="1134" w:type="dxa"/>
            <w:shd w:val="clear" w:color="auto" w:fill="B8CCE4" w:themeFill="accent1" w:themeFillTint="66"/>
          </w:tcPr>
          <w:p w:rsidR="005D1848" w:rsidRPr="00305365" w:rsidRDefault="00004767" w:rsidP="00004767">
            <w:pPr>
              <w:bidi w:val="0"/>
              <w:jc w:val="center"/>
              <w:rPr>
                <w:rFonts w:asciiTheme="minorHAnsi" w:hAnsiTheme="minorHAnsi" w:cstheme="minorHAnsi"/>
                <w:sz w:val="20"/>
                <w:szCs w:val="20"/>
              </w:rPr>
            </w:pPr>
            <w:r w:rsidRPr="00305365">
              <w:rPr>
                <w:rFonts w:asciiTheme="minorHAnsi" w:hAnsiTheme="minorHAnsi" w:cstheme="minorHAnsi"/>
                <w:sz w:val="20"/>
                <w:szCs w:val="20"/>
              </w:rPr>
              <w:t>-</w:t>
            </w:r>
            <w:r w:rsidR="005D1848" w:rsidRPr="00305365">
              <w:rPr>
                <w:rFonts w:asciiTheme="minorHAnsi" w:hAnsiTheme="minorHAnsi" w:cstheme="minorHAnsi"/>
                <w:sz w:val="20"/>
                <w:szCs w:val="20"/>
              </w:rPr>
              <w:t>0.</w:t>
            </w:r>
            <w:r w:rsidRPr="00305365">
              <w:rPr>
                <w:rFonts w:asciiTheme="minorHAnsi" w:hAnsiTheme="minorHAnsi" w:cstheme="minorHAnsi"/>
                <w:sz w:val="20"/>
                <w:szCs w:val="20"/>
              </w:rPr>
              <w:t>6</w:t>
            </w:r>
          </w:p>
        </w:tc>
      </w:tr>
      <w:tr w:rsidR="005D1848" w:rsidRPr="00305365" w:rsidTr="005D1848">
        <w:tc>
          <w:tcPr>
            <w:tcW w:w="4957" w:type="dxa"/>
            <w:tcBorders>
              <w:top w:val="single" w:sz="4" w:space="0" w:color="auto"/>
              <w:bottom w:val="single" w:sz="4" w:space="0" w:color="auto"/>
            </w:tcBorders>
            <w:vAlign w:val="bottom"/>
          </w:tcPr>
          <w:p w:rsidR="005D1848" w:rsidRPr="00305365" w:rsidRDefault="005D1848" w:rsidP="005D1848">
            <w:pPr>
              <w:bidi w:val="0"/>
              <w:rPr>
                <w:rFonts w:asciiTheme="minorHAnsi" w:hAnsiTheme="minorHAnsi" w:cstheme="minorHAnsi"/>
                <w:sz w:val="20"/>
                <w:szCs w:val="20"/>
              </w:rPr>
            </w:pPr>
            <w:r w:rsidRPr="00305365">
              <w:rPr>
                <w:rFonts w:asciiTheme="minorHAnsi" w:hAnsiTheme="minorHAnsi" w:cstheme="minorHAnsi"/>
                <w:sz w:val="20"/>
                <w:szCs w:val="20"/>
              </w:rPr>
              <w:t>Adjusted employment rate (average for the year, ages 25–64)</w:t>
            </w:r>
            <w:r w:rsidRPr="00305365">
              <w:rPr>
                <w:rFonts w:asciiTheme="minorHAnsi" w:hAnsiTheme="minorHAnsi" w:cstheme="minorHAnsi"/>
                <w:sz w:val="20"/>
                <w:szCs w:val="20"/>
                <w:vertAlign w:val="superscript"/>
              </w:rPr>
              <w:t>b</w:t>
            </w:r>
          </w:p>
        </w:tc>
        <w:tc>
          <w:tcPr>
            <w:tcW w:w="1134" w:type="dxa"/>
            <w:tcBorders>
              <w:top w:val="single" w:sz="4" w:space="0" w:color="auto"/>
              <w:left w:val="single" w:sz="4" w:space="0" w:color="auto"/>
              <w:bottom w:val="single" w:sz="4" w:space="0" w:color="auto"/>
              <w:right w:val="nil"/>
            </w:tcBorders>
            <w:shd w:val="clear" w:color="auto" w:fill="auto"/>
          </w:tcPr>
          <w:p w:rsidR="005D1848" w:rsidRPr="00305365" w:rsidRDefault="005D1848"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77.</w:t>
            </w:r>
            <w:r w:rsidR="00FA56BE" w:rsidRPr="00305365">
              <w:rPr>
                <w:rFonts w:asciiTheme="minorHAnsi" w:hAnsiTheme="minorHAnsi" w:cstheme="minorHAnsi"/>
                <w:sz w:val="20"/>
                <w:szCs w:val="20"/>
              </w:rPr>
              <w:t>8</w:t>
            </w:r>
          </w:p>
        </w:tc>
        <w:tc>
          <w:tcPr>
            <w:tcW w:w="1134" w:type="dxa"/>
            <w:tcBorders>
              <w:top w:val="single" w:sz="4" w:space="0" w:color="auto"/>
              <w:left w:val="single" w:sz="4" w:space="0" w:color="auto"/>
              <w:bottom w:val="single" w:sz="4" w:space="0" w:color="auto"/>
              <w:right w:val="nil"/>
            </w:tcBorders>
            <w:shd w:val="clear" w:color="auto" w:fill="auto"/>
          </w:tcPr>
          <w:p w:rsidR="005D1848" w:rsidRPr="00305365" w:rsidRDefault="00004767" w:rsidP="000D5119">
            <w:pPr>
              <w:bidi w:val="0"/>
              <w:jc w:val="center"/>
              <w:rPr>
                <w:rFonts w:asciiTheme="minorHAnsi" w:hAnsiTheme="minorHAnsi" w:cstheme="minorHAnsi"/>
                <w:sz w:val="20"/>
                <w:szCs w:val="20"/>
              </w:rPr>
            </w:pPr>
            <w:r w:rsidRPr="00305365">
              <w:rPr>
                <w:rFonts w:asciiTheme="minorHAnsi" w:hAnsiTheme="minorHAnsi" w:cstheme="minorHAnsi"/>
                <w:sz w:val="20"/>
                <w:szCs w:val="20"/>
              </w:rPr>
              <w:t>7</w:t>
            </w:r>
            <w:r w:rsidR="000D5119" w:rsidRPr="00305365">
              <w:rPr>
                <w:rFonts w:asciiTheme="minorHAnsi" w:hAnsiTheme="minorHAnsi" w:cstheme="minorHAnsi"/>
                <w:sz w:val="20"/>
                <w:szCs w:val="20"/>
              </w:rPr>
              <w:t>7.9</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rsidR="005D1848" w:rsidRPr="00305365" w:rsidRDefault="00FA56BE" w:rsidP="000D5119">
            <w:pPr>
              <w:bidi w:val="0"/>
              <w:jc w:val="center"/>
              <w:rPr>
                <w:rFonts w:asciiTheme="minorHAnsi" w:hAnsiTheme="minorHAnsi" w:cstheme="minorHAnsi"/>
                <w:sz w:val="20"/>
                <w:szCs w:val="20"/>
              </w:rPr>
            </w:pPr>
            <w:r w:rsidRPr="00305365">
              <w:rPr>
                <w:rFonts w:asciiTheme="minorHAnsi" w:hAnsiTheme="minorHAnsi" w:cstheme="minorHAnsi"/>
                <w:sz w:val="20"/>
                <w:szCs w:val="20"/>
              </w:rPr>
              <w:t>0.</w:t>
            </w:r>
            <w:r w:rsidR="000D5119" w:rsidRPr="00305365">
              <w:rPr>
                <w:rFonts w:asciiTheme="minorHAnsi" w:hAnsiTheme="minorHAnsi" w:cstheme="minorHAnsi"/>
                <w:sz w:val="20"/>
                <w:szCs w:val="20"/>
              </w:rPr>
              <w:t>3</w:t>
            </w:r>
          </w:p>
        </w:tc>
        <w:tc>
          <w:tcPr>
            <w:tcW w:w="1275" w:type="dxa"/>
            <w:tcBorders>
              <w:top w:val="single" w:sz="4" w:space="0" w:color="auto"/>
              <w:left w:val="nil"/>
              <w:bottom w:val="single" w:sz="4" w:space="0" w:color="auto"/>
              <w:right w:val="single" w:sz="4" w:space="0" w:color="auto"/>
            </w:tcBorders>
            <w:shd w:val="clear" w:color="auto" w:fill="auto"/>
          </w:tcPr>
          <w:p w:rsidR="005D1848" w:rsidRPr="00305365" w:rsidRDefault="005D1848" w:rsidP="00004767">
            <w:pPr>
              <w:bidi w:val="0"/>
              <w:jc w:val="center"/>
              <w:rPr>
                <w:rFonts w:asciiTheme="minorHAnsi" w:hAnsiTheme="minorHAnsi" w:cstheme="minorHAnsi"/>
                <w:sz w:val="20"/>
                <w:szCs w:val="20"/>
              </w:rPr>
            </w:pPr>
            <w:r w:rsidRPr="00305365">
              <w:rPr>
                <w:rFonts w:asciiTheme="minorHAnsi" w:hAnsiTheme="minorHAnsi" w:cstheme="minorHAnsi"/>
                <w:sz w:val="20"/>
                <w:szCs w:val="20"/>
              </w:rPr>
              <w:t>7</w:t>
            </w:r>
            <w:r w:rsidR="00004767" w:rsidRPr="00305365">
              <w:rPr>
                <w:rFonts w:asciiTheme="minorHAnsi" w:hAnsiTheme="minorHAnsi" w:cstheme="minorHAnsi"/>
                <w:sz w:val="20"/>
                <w:szCs w:val="20"/>
              </w:rPr>
              <w:t>8</w:t>
            </w:r>
            <w:r w:rsidR="006866C5" w:rsidRPr="00305365">
              <w:rPr>
                <w:rFonts w:asciiTheme="minorHAnsi" w:hAnsiTheme="minorHAnsi" w:cstheme="minorHAnsi"/>
                <w:sz w:val="20"/>
                <w:szCs w:val="20"/>
              </w:rPr>
              <w:t>.</w:t>
            </w:r>
            <w:r w:rsidR="000D5119" w:rsidRPr="00305365">
              <w:rPr>
                <w:rFonts w:asciiTheme="minorHAnsi" w:hAnsiTheme="minorHAnsi" w:cstheme="minorHAnsi"/>
                <w:sz w:val="20"/>
                <w:szCs w:val="20"/>
              </w:rPr>
              <w:t>3</w:t>
            </w:r>
          </w:p>
        </w:tc>
        <w:tc>
          <w:tcPr>
            <w:tcW w:w="1134" w:type="dxa"/>
            <w:shd w:val="clear" w:color="auto" w:fill="B8CCE4" w:themeFill="accent1" w:themeFillTint="66"/>
          </w:tcPr>
          <w:p w:rsidR="005D1848" w:rsidRPr="00305365" w:rsidRDefault="000D5119" w:rsidP="00FA56BE">
            <w:pPr>
              <w:bidi w:val="0"/>
              <w:jc w:val="center"/>
              <w:rPr>
                <w:rFonts w:asciiTheme="minorHAnsi" w:hAnsiTheme="minorHAnsi" w:cstheme="minorHAnsi"/>
                <w:sz w:val="20"/>
                <w:szCs w:val="20"/>
              </w:rPr>
            </w:pPr>
            <w:r w:rsidRPr="00305365">
              <w:rPr>
                <w:rFonts w:asciiTheme="minorHAnsi" w:hAnsiTheme="minorHAnsi" w:cstheme="minorHAnsi"/>
                <w:sz w:val="20"/>
                <w:szCs w:val="20"/>
              </w:rPr>
              <w:t>0.6</w:t>
            </w:r>
          </w:p>
        </w:tc>
      </w:tr>
      <w:tr w:rsidR="005D1848" w:rsidRPr="00305365" w:rsidTr="005D1848">
        <w:tc>
          <w:tcPr>
            <w:tcW w:w="4957" w:type="dxa"/>
            <w:tcBorders>
              <w:top w:val="single" w:sz="4" w:space="0" w:color="auto"/>
              <w:bottom w:val="single" w:sz="4" w:space="0" w:color="auto"/>
            </w:tcBorders>
            <w:vAlign w:val="bottom"/>
          </w:tcPr>
          <w:p w:rsidR="005D1848" w:rsidRPr="00305365" w:rsidRDefault="005D1848" w:rsidP="005D1848">
            <w:pPr>
              <w:bidi w:val="0"/>
              <w:rPr>
                <w:rFonts w:asciiTheme="minorHAnsi" w:hAnsiTheme="minorHAnsi" w:cstheme="minorHAnsi"/>
                <w:sz w:val="20"/>
                <w:szCs w:val="20"/>
              </w:rPr>
            </w:pPr>
            <w:r w:rsidRPr="00305365">
              <w:rPr>
                <w:rFonts w:asciiTheme="minorHAnsi" w:hAnsiTheme="minorHAnsi" w:cstheme="minorHAnsi"/>
                <w:sz w:val="20"/>
                <w:szCs w:val="20"/>
              </w:rPr>
              <w:t>Government deficit (percent of GDP)</w:t>
            </w:r>
          </w:p>
        </w:tc>
        <w:tc>
          <w:tcPr>
            <w:tcW w:w="1134" w:type="dxa"/>
            <w:tcBorders>
              <w:top w:val="single" w:sz="4" w:space="0" w:color="auto"/>
              <w:left w:val="single" w:sz="4" w:space="0" w:color="auto"/>
              <w:bottom w:val="single" w:sz="4" w:space="0" w:color="auto"/>
              <w:right w:val="nil"/>
            </w:tcBorders>
            <w:shd w:val="clear" w:color="auto" w:fill="auto"/>
          </w:tcPr>
          <w:p w:rsidR="005D1848" w:rsidRPr="00305365" w:rsidRDefault="00422142" w:rsidP="000C62F4">
            <w:pPr>
              <w:bidi w:val="0"/>
              <w:jc w:val="center"/>
              <w:rPr>
                <w:rFonts w:asciiTheme="minorHAnsi" w:hAnsiTheme="minorHAnsi" w:cstheme="minorHAnsi"/>
                <w:sz w:val="20"/>
                <w:szCs w:val="20"/>
                <w:rtl/>
              </w:rPr>
            </w:pPr>
            <w:r w:rsidRPr="00305365">
              <w:rPr>
                <w:rFonts w:asciiTheme="minorHAnsi" w:hAnsiTheme="minorHAnsi" w:cstheme="minorHAnsi"/>
                <w:sz w:val="20"/>
                <w:szCs w:val="20"/>
              </w:rPr>
              <w:t>4.0</w:t>
            </w:r>
          </w:p>
        </w:tc>
        <w:tc>
          <w:tcPr>
            <w:tcW w:w="1134" w:type="dxa"/>
            <w:tcBorders>
              <w:top w:val="single" w:sz="4" w:space="0" w:color="auto"/>
              <w:left w:val="single" w:sz="4" w:space="0" w:color="auto"/>
              <w:bottom w:val="single" w:sz="4" w:space="0" w:color="auto"/>
              <w:right w:val="nil"/>
            </w:tcBorders>
            <w:shd w:val="clear" w:color="auto" w:fill="auto"/>
          </w:tcPr>
          <w:p w:rsidR="005D1848" w:rsidRPr="00305365" w:rsidRDefault="00004767" w:rsidP="004B2862">
            <w:pPr>
              <w:bidi w:val="0"/>
              <w:jc w:val="center"/>
              <w:rPr>
                <w:rFonts w:asciiTheme="minorHAnsi" w:hAnsiTheme="minorHAnsi" w:cstheme="minorHAnsi"/>
                <w:sz w:val="20"/>
                <w:szCs w:val="20"/>
              </w:rPr>
            </w:pPr>
            <w:r w:rsidRPr="00305365">
              <w:rPr>
                <w:rFonts w:asciiTheme="minorHAnsi" w:hAnsiTheme="minorHAnsi" w:cstheme="minorHAnsi"/>
                <w:sz w:val="20"/>
                <w:szCs w:val="20"/>
              </w:rPr>
              <w:t>7.2</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rsidR="005D1848" w:rsidRPr="00305365" w:rsidRDefault="00004767" w:rsidP="006866C5">
            <w:pPr>
              <w:bidi w:val="0"/>
              <w:jc w:val="center"/>
              <w:rPr>
                <w:rFonts w:asciiTheme="minorHAnsi" w:hAnsiTheme="minorHAnsi" w:cstheme="minorHAnsi"/>
                <w:sz w:val="20"/>
                <w:szCs w:val="20"/>
              </w:rPr>
            </w:pPr>
            <w:r w:rsidRPr="00305365">
              <w:rPr>
                <w:rFonts w:asciiTheme="minorHAnsi" w:hAnsiTheme="minorHAnsi" w:cstheme="minorHAnsi"/>
                <w:sz w:val="20"/>
                <w:szCs w:val="20"/>
              </w:rPr>
              <w:t>0.6</w:t>
            </w:r>
          </w:p>
        </w:tc>
        <w:tc>
          <w:tcPr>
            <w:tcW w:w="1275" w:type="dxa"/>
            <w:tcBorders>
              <w:top w:val="single" w:sz="4" w:space="0" w:color="auto"/>
              <w:left w:val="nil"/>
              <w:bottom w:val="single" w:sz="4" w:space="0" w:color="auto"/>
              <w:right w:val="single" w:sz="4" w:space="0" w:color="auto"/>
            </w:tcBorders>
            <w:shd w:val="clear" w:color="auto" w:fill="auto"/>
          </w:tcPr>
          <w:p w:rsidR="005D1848" w:rsidRPr="00305365" w:rsidRDefault="00056568" w:rsidP="004B2862">
            <w:pPr>
              <w:bidi w:val="0"/>
              <w:jc w:val="center"/>
              <w:rPr>
                <w:rFonts w:asciiTheme="minorHAnsi" w:hAnsiTheme="minorHAnsi" w:cstheme="minorHAnsi"/>
                <w:sz w:val="20"/>
                <w:szCs w:val="20"/>
              </w:rPr>
            </w:pPr>
            <w:r w:rsidRPr="00305365">
              <w:rPr>
                <w:rFonts w:asciiTheme="minorHAnsi" w:hAnsiTheme="minorHAnsi" w:cstheme="minorHAnsi"/>
                <w:sz w:val="20"/>
                <w:szCs w:val="20"/>
              </w:rPr>
              <w:t>4.9</w:t>
            </w:r>
          </w:p>
        </w:tc>
        <w:tc>
          <w:tcPr>
            <w:tcW w:w="1134" w:type="dxa"/>
            <w:shd w:val="clear" w:color="auto" w:fill="B8CCE4" w:themeFill="accent1" w:themeFillTint="66"/>
            <w:vAlign w:val="bottom"/>
          </w:tcPr>
          <w:p w:rsidR="005D1848" w:rsidRPr="00305365" w:rsidRDefault="00056568" w:rsidP="004B2862">
            <w:pPr>
              <w:bidi w:val="0"/>
              <w:jc w:val="center"/>
              <w:rPr>
                <w:rFonts w:asciiTheme="minorHAnsi" w:hAnsiTheme="minorHAnsi" w:cstheme="minorHAnsi"/>
                <w:sz w:val="20"/>
                <w:szCs w:val="20"/>
                <w:rtl/>
              </w:rPr>
            </w:pPr>
            <w:r w:rsidRPr="00305365">
              <w:rPr>
                <w:rFonts w:asciiTheme="minorHAnsi" w:hAnsiTheme="minorHAnsi" w:cstheme="minorHAnsi"/>
                <w:sz w:val="20"/>
                <w:szCs w:val="20"/>
              </w:rPr>
              <w:t>0.9</w:t>
            </w:r>
          </w:p>
        </w:tc>
      </w:tr>
      <w:tr w:rsidR="005D1848" w:rsidRPr="00305365" w:rsidTr="005D1848">
        <w:tc>
          <w:tcPr>
            <w:tcW w:w="4957" w:type="dxa"/>
            <w:tcBorders>
              <w:top w:val="single" w:sz="4" w:space="0" w:color="auto"/>
              <w:bottom w:val="single" w:sz="4" w:space="0" w:color="auto"/>
            </w:tcBorders>
            <w:vAlign w:val="bottom"/>
          </w:tcPr>
          <w:p w:rsidR="005D1848" w:rsidRPr="00305365" w:rsidRDefault="005D1848" w:rsidP="005D1848">
            <w:pPr>
              <w:bidi w:val="0"/>
              <w:rPr>
                <w:rFonts w:asciiTheme="minorHAnsi" w:hAnsiTheme="minorHAnsi" w:cstheme="minorHAnsi"/>
                <w:sz w:val="20"/>
                <w:szCs w:val="20"/>
              </w:rPr>
            </w:pPr>
            <w:r w:rsidRPr="00305365">
              <w:rPr>
                <w:rFonts w:asciiTheme="minorHAnsi" w:hAnsiTheme="minorHAnsi" w:cstheme="minorHAnsi"/>
                <w:sz w:val="20"/>
                <w:szCs w:val="20"/>
              </w:rPr>
              <w:t>Debt to GDP ratio (percent)</w:t>
            </w:r>
          </w:p>
        </w:tc>
        <w:tc>
          <w:tcPr>
            <w:tcW w:w="1134" w:type="dxa"/>
            <w:tcBorders>
              <w:top w:val="single" w:sz="4" w:space="0" w:color="auto"/>
              <w:left w:val="single" w:sz="4" w:space="0" w:color="auto"/>
              <w:bottom w:val="single" w:sz="4" w:space="0" w:color="auto"/>
              <w:right w:val="nil"/>
            </w:tcBorders>
            <w:shd w:val="clear" w:color="auto" w:fill="auto"/>
          </w:tcPr>
          <w:p w:rsidR="005D1848" w:rsidRPr="00305365" w:rsidRDefault="00422142"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61.4</w:t>
            </w:r>
          </w:p>
        </w:tc>
        <w:tc>
          <w:tcPr>
            <w:tcW w:w="1134" w:type="dxa"/>
            <w:tcBorders>
              <w:top w:val="single" w:sz="4" w:space="0" w:color="auto"/>
              <w:left w:val="single" w:sz="4" w:space="0" w:color="auto"/>
              <w:bottom w:val="single" w:sz="4" w:space="0" w:color="auto"/>
              <w:right w:val="nil"/>
            </w:tcBorders>
            <w:shd w:val="clear" w:color="auto" w:fill="auto"/>
          </w:tcPr>
          <w:p w:rsidR="005D1848" w:rsidRPr="00305365" w:rsidRDefault="00004767" w:rsidP="00004767">
            <w:pPr>
              <w:bidi w:val="0"/>
              <w:jc w:val="center"/>
              <w:rPr>
                <w:rFonts w:asciiTheme="minorHAnsi" w:hAnsiTheme="minorHAnsi" w:cstheme="minorHAnsi"/>
                <w:sz w:val="20"/>
                <w:szCs w:val="20"/>
              </w:rPr>
            </w:pPr>
            <w:r w:rsidRPr="00305365">
              <w:rPr>
                <w:rFonts w:asciiTheme="minorHAnsi" w:hAnsiTheme="minorHAnsi" w:cstheme="minorHAnsi"/>
                <w:sz w:val="20"/>
                <w:szCs w:val="20"/>
              </w:rPr>
              <w:t>68.0</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rsidR="005D1848" w:rsidRPr="00305365" w:rsidRDefault="006866C5" w:rsidP="004B2862">
            <w:pPr>
              <w:bidi w:val="0"/>
              <w:jc w:val="center"/>
              <w:rPr>
                <w:rFonts w:asciiTheme="minorHAnsi" w:hAnsiTheme="minorHAnsi" w:cstheme="minorHAnsi"/>
                <w:sz w:val="20"/>
                <w:szCs w:val="20"/>
              </w:rPr>
            </w:pPr>
            <w:r w:rsidRPr="00305365">
              <w:rPr>
                <w:rFonts w:asciiTheme="minorHAnsi" w:hAnsiTheme="minorHAnsi" w:cstheme="minorHAnsi"/>
                <w:sz w:val="20"/>
                <w:szCs w:val="20"/>
              </w:rPr>
              <w:t>0.</w:t>
            </w:r>
            <w:r w:rsidR="004B2862" w:rsidRPr="00305365">
              <w:rPr>
                <w:rFonts w:asciiTheme="minorHAnsi" w:hAnsiTheme="minorHAnsi" w:cstheme="minorHAnsi"/>
                <w:sz w:val="20"/>
                <w:szCs w:val="20"/>
              </w:rPr>
              <w:t>5</w:t>
            </w:r>
          </w:p>
        </w:tc>
        <w:tc>
          <w:tcPr>
            <w:tcW w:w="1275" w:type="dxa"/>
            <w:tcBorders>
              <w:top w:val="single" w:sz="4" w:space="0" w:color="auto"/>
              <w:left w:val="nil"/>
              <w:bottom w:val="single" w:sz="4" w:space="0" w:color="auto"/>
              <w:right w:val="single" w:sz="4" w:space="0" w:color="auto"/>
            </w:tcBorders>
            <w:shd w:val="clear" w:color="auto" w:fill="auto"/>
          </w:tcPr>
          <w:p w:rsidR="005D1848" w:rsidRPr="00305365" w:rsidRDefault="00056568" w:rsidP="006866C5">
            <w:pPr>
              <w:bidi w:val="0"/>
              <w:jc w:val="center"/>
              <w:rPr>
                <w:rFonts w:asciiTheme="minorHAnsi" w:hAnsiTheme="minorHAnsi" w:cstheme="minorHAnsi"/>
                <w:sz w:val="20"/>
                <w:szCs w:val="20"/>
              </w:rPr>
            </w:pPr>
            <w:r w:rsidRPr="00305365">
              <w:rPr>
                <w:rFonts w:asciiTheme="minorHAnsi" w:hAnsiTheme="minorHAnsi" w:cstheme="minorHAnsi"/>
                <w:sz w:val="20"/>
                <w:szCs w:val="20"/>
              </w:rPr>
              <w:t>69.0</w:t>
            </w:r>
          </w:p>
        </w:tc>
        <w:tc>
          <w:tcPr>
            <w:tcW w:w="1134" w:type="dxa"/>
            <w:shd w:val="clear" w:color="auto" w:fill="B8CCE4" w:themeFill="accent1" w:themeFillTint="66"/>
            <w:vAlign w:val="bottom"/>
          </w:tcPr>
          <w:p w:rsidR="005D1848" w:rsidRPr="00305365" w:rsidRDefault="00747482"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tl/>
              </w:rPr>
              <w:t>0.5</w:t>
            </w:r>
          </w:p>
        </w:tc>
      </w:tr>
      <w:tr w:rsidR="005D1848" w:rsidRPr="00305365" w:rsidTr="005D1848">
        <w:tc>
          <w:tcPr>
            <w:tcW w:w="4957" w:type="dxa"/>
            <w:tcBorders>
              <w:top w:val="single" w:sz="4" w:space="0" w:color="auto"/>
              <w:bottom w:val="single" w:sz="4" w:space="0" w:color="auto"/>
            </w:tcBorders>
            <w:vAlign w:val="bottom"/>
          </w:tcPr>
          <w:p w:rsidR="005D1848" w:rsidRPr="00305365" w:rsidRDefault="005D1848" w:rsidP="005D1848">
            <w:pPr>
              <w:bidi w:val="0"/>
              <w:rPr>
                <w:rFonts w:asciiTheme="minorHAnsi" w:hAnsiTheme="minorHAnsi" w:cstheme="minorHAnsi"/>
                <w:sz w:val="20"/>
                <w:szCs w:val="20"/>
                <w:vertAlign w:val="superscript"/>
              </w:rPr>
            </w:pPr>
            <w:r w:rsidRPr="00305365">
              <w:rPr>
                <w:rFonts w:asciiTheme="minorHAnsi" w:hAnsiTheme="minorHAnsi" w:cstheme="minorHAnsi"/>
                <w:sz w:val="20"/>
                <w:szCs w:val="20"/>
              </w:rPr>
              <w:t>Inflation (percent)</w:t>
            </w:r>
            <w:r w:rsidRPr="00305365">
              <w:rPr>
                <w:rFonts w:asciiTheme="minorHAnsi" w:hAnsiTheme="minorHAnsi" w:cstheme="minorHAnsi"/>
                <w:sz w:val="20"/>
                <w:szCs w:val="20"/>
                <w:vertAlign w:val="superscript"/>
              </w:rPr>
              <w:t>c</w:t>
            </w:r>
          </w:p>
        </w:tc>
        <w:tc>
          <w:tcPr>
            <w:tcW w:w="1134" w:type="dxa"/>
            <w:tcBorders>
              <w:top w:val="single" w:sz="4" w:space="0" w:color="auto"/>
              <w:left w:val="single" w:sz="4" w:space="0" w:color="auto"/>
              <w:bottom w:val="single" w:sz="4" w:space="0" w:color="auto"/>
              <w:right w:val="nil"/>
            </w:tcBorders>
            <w:shd w:val="clear" w:color="auto" w:fill="auto"/>
          </w:tcPr>
          <w:p w:rsidR="005D1848" w:rsidRPr="00305365" w:rsidRDefault="00F84544" w:rsidP="00DC0990">
            <w:pPr>
              <w:bidi w:val="0"/>
              <w:jc w:val="center"/>
              <w:rPr>
                <w:rFonts w:asciiTheme="minorHAnsi" w:hAnsiTheme="minorHAnsi" w:cstheme="minorHAnsi"/>
                <w:sz w:val="20"/>
                <w:szCs w:val="20"/>
              </w:rPr>
            </w:pPr>
            <w:r w:rsidRPr="00305365">
              <w:rPr>
                <w:rFonts w:asciiTheme="minorHAnsi" w:hAnsiTheme="minorHAnsi" w:cstheme="minorHAnsi"/>
                <w:sz w:val="20"/>
                <w:szCs w:val="20"/>
              </w:rPr>
              <w:t>3.</w:t>
            </w:r>
            <w:r w:rsidR="00DC0990" w:rsidRPr="00305365">
              <w:rPr>
                <w:rFonts w:asciiTheme="minorHAnsi" w:hAnsiTheme="minorHAnsi" w:cstheme="minorHAnsi"/>
                <w:sz w:val="20"/>
                <w:szCs w:val="20"/>
              </w:rPr>
              <w:t>3</w:t>
            </w:r>
          </w:p>
        </w:tc>
        <w:tc>
          <w:tcPr>
            <w:tcW w:w="1134" w:type="dxa"/>
            <w:tcBorders>
              <w:top w:val="single" w:sz="4" w:space="0" w:color="auto"/>
              <w:left w:val="single" w:sz="4" w:space="0" w:color="auto"/>
              <w:bottom w:val="single" w:sz="4" w:space="0" w:color="auto"/>
              <w:right w:val="nil"/>
            </w:tcBorders>
            <w:shd w:val="clear" w:color="auto" w:fill="auto"/>
          </w:tcPr>
          <w:p w:rsidR="005D1848" w:rsidRPr="00305365" w:rsidRDefault="00004767" w:rsidP="005D1848">
            <w:pPr>
              <w:bidi w:val="0"/>
              <w:jc w:val="center"/>
              <w:rPr>
                <w:rFonts w:asciiTheme="minorHAnsi" w:hAnsiTheme="minorHAnsi" w:cstheme="minorHAnsi"/>
                <w:sz w:val="20"/>
                <w:szCs w:val="20"/>
              </w:rPr>
            </w:pPr>
            <w:r w:rsidRPr="00305365">
              <w:rPr>
                <w:rFonts w:asciiTheme="minorHAnsi" w:hAnsiTheme="minorHAnsi" w:cstheme="minorHAnsi"/>
                <w:sz w:val="20"/>
                <w:szCs w:val="20"/>
              </w:rPr>
              <w:t>3.8</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rsidR="005D1848" w:rsidRPr="00305365" w:rsidRDefault="00FA56BE" w:rsidP="00004767">
            <w:pPr>
              <w:bidi w:val="0"/>
              <w:jc w:val="center"/>
              <w:rPr>
                <w:rFonts w:asciiTheme="minorHAnsi" w:hAnsiTheme="minorHAnsi" w:cstheme="minorHAnsi"/>
                <w:sz w:val="20"/>
                <w:szCs w:val="20"/>
              </w:rPr>
            </w:pPr>
            <w:r w:rsidRPr="00305365">
              <w:rPr>
                <w:rFonts w:asciiTheme="minorHAnsi" w:hAnsiTheme="minorHAnsi" w:cstheme="minorHAnsi"/>
                <w:sz w:val="20"/>
                <w:szCs w:val="20"/>
              </w:rPr>
              <w:t>0.</w:t>
            </w:r>
            <w:r w:rsidR="00004767" w:rsidRPr="00305365">
              <w:rPr>
                <w:rFonts w:asciiTheme="minorHAnsi" w:hAnsiTheme="minorHAnsi" w:cstheme="minorHAnsi"/>
                <w:sz w:val="20"/>
                <w:szCs w:val="20"/>
              </w:rPr>
              <w:t>8</w:t>
            </w:r>
          </w:p>
        </w:tc>
        <w:tc>
          <w:tcPr>
            <w:tcW w:w="1275" w:type="dxa"/>
            <w:tcBorders>
              <w:top w:val="single" w:sz="4" w:space="0" w:color="auto"/>
              <w:left w:val="nil"/>
              <w:bottom w:val="single" w:sz="4" w:space="0" w:color="auto"/>
              <w:right w:val="single" w:sz="4" w:space="0" w:color="auto"/>
            </w:tcBorders>
            <w:shd w:val="clear" w:color="auto" w:fill="auto"/>
          </w:tcPr>
          <w:p w:rsidR="005D1848" w:rsidRPr="00305365" w:rsidRDefault="005D1848" w:rsidP="006866C5">
            <w:pPr>
              <w:bidi w:val="0"/>
              <w:jc w:val="center"/>
              <w:rPr>
                <w:rFonts w:asciiTheme="minorHAnsi" w:hAnsiTheme="minorHAnsi" w:cstheme="minorHAnsi"/>
                <w:sz w:val="20"/>
                <w:szCs w:val="20"/>
              </w:rPr>
            </w:pPr>
            <w:r w:rsidRPr="00305365">
              <w:rPr>
                <w:rFonts w:asciiTheme="minorHAnsi" w:hAnsiTheme="minorHAnsi" w:cstheme="minorHAnsi"/>
                <w:sz w:val="20"/>
                <w:szCs w:val="20"/>
              </w:rPr>
              <w:t>2.</w:t>
            </w:r>
            <w:r w:rsidR="006866C5" w:rsidRPr="00305365">
              <w:rPr>
                <w:rFonts w:asciiTheme="minorHAnsi" w:hAnsiTheme="minorHAnsi" w:cstheme="minorHAnsi"/>
                <w:sz w:val="20"/>
                <w:szCs w:val="20"/>
              </w:rPr>
              <w:t>8</w:t>
            </w:r>
          </w:p>
        </w:tc>
        <w:tc>
          <w:tcPr>
            <w:tcW w:w="1134" w:type="dxa"/>
            <w:shd w:val="clear" w:color="auto" w:fill="B8CCE4" w:themeFill="accent1" w:themeFillTint="66"/>
            <w:vAlign w:val="bottom"/>
          </w:tcPr>
          <w:p w:rsidR="005D1848" w:rsidRPr="00305365" w:rsidRDefault="00FA56BE" w:rsidP="00004767">
            <w:pPr>
              <w:bidi w:val="0"/>
              <w:jc w:val="center"/>
              <w:rPr>
                <w:rFonts w:asciiTheme="minorHAnsi" w:hAnsiTheme="minorHAnsi" w:cstheme="minorHAnsi"/>
                <w:sz w:val="20"/>
                <w:szCs w:val="20"/>
              </w:rPr>
            </w:pPr>
            <w:r w:rsidRPr="00305365">
              <w:rPr>
                <w:rFonts w:asciiTheme="minorHAnsi" w:hAnsiTheme="minorHAnsi" w:cstheme="minorHAnsi"/>
                <w:sz w:val="20"/>
                <w:szCs w:val="20"/>
              </w:rPr>
              <w:t>0.</w:t>
            </w:r>
            <w:r w:rsidR="00004767" w:rsidRPr="00305365">
              <w:rPr>
                <w:rFonts w:asciiTheme="minorHAnsi" w:hAnsiTheme="minorHAnsi" w:cstheme="minorHAnsi"/>
                <w:sz w:val="20"/>
                <w:szCs w:val="20"/>
              </w:rPr>
              <w:t>0</w:t>
            </w:r>
          </w:p>
        </w:tc>
      </w:tr>
      <w:tr w:rsidR="005D1848" w:rsidRPr="00305365" w:rsidTr="00612DB3">
        <w:tc>
          <w:tcPr>
            <w:tcW w:w="10768" w:type="dxa"/>
            <w:gridSpan w:val="6"/>
            <w:tcBorders>
              <w:top w:val="single" w:sz="4" w:space="0" w:color="auto"/>
              <w:bottom w:val="single" w:sz="4" w:space="0" w:color="auto"/>
              <w:right w:val="single" w:sz="4" w:space="0" w:color="auto"/>
            </w:tcBorders>
            <w:vAlign w:val="bottom"/>
          </w:tcPr>
          <w:p w:rsidR="005D1848" w:rsidRPr="00305365" w:rsidRDefault="005D1848" w:rsidP="000B4DDD">
            <w:pPr>
              <w:bidi w:val="0"/>
              <w:rPr>
                <w:rFonts w:asciiTheme="minorHAnsi" w:hAnsiTheme="minorHAnsi" w:cstheme="minorHAnsi"/>
                <w:sz w:val="18"/>
                <w:szCs w:val="18"/>
              </w:rPr>
            </w:pPr>
            <w:proofErr w:type="spellStart"/>
            <w:proofErr w:type="gramStart"/>
            <w:r w:rsidRPr="00305365">
              <w:rPr>
                <w:rFonts w:asciiTheme="minorHAnsi" w:hAnsiTheme="minorHAnsi" w:cstheme="minorHAnsi"/>
                <w:sz w:val="18"/>
                <w:szCs w:val="18"/>
                <w:vertAlign w:val="superscript"/>
              </w:rPr>
              <w:t>a</w:t>
            </w:r>
            <w:proofErr w:type="spellEnd"/>
            <w:proofErr w:type="gramEnd"/>
            <w:r w:rsidRPr="00305365">
              <w:rPr>
                <w:rFonts w:asciiTheme="minorHAnsi" w:hAnsiTheme="minorHAnsi" w:cstheme="minorHAnsi"/>
                <w:sz w:val="18"/>
                <w:szCs w:val="18"/>
                <w:vertAlign w:val="superscript"/>
              </w:rPr>
              <w:t xml:space="preserve"> </w:t>
            </w:r>
            <w:r w:rsidR="001971AC" w:rsidRPr="00305365">
              <w:rPr>
                <w:rFonts w:asciiTheme="minorHAnsi" w:hAnsiTheme="minorHAnsi" w:cstheme="minorHAnsi"/>
                <w:sz w:val="18"/>
                <w:szCs w:val="18"/>
              </w:rPr>
              <w:t>T</w:t>
            </w:r>
            <w:r w:rsidRPr="00305365">
              <w:rPr>
                <w:rFonts w:asciiTheme="minorHAnsi" w:hAnsiTheme="minorHAnsi" w:cstheme="minorHAnsi"/>
                <w:sz w:val="18"/>
                <w:szCs w:val="18"/>
              </w:rPr>
              <w:t>he forecast</w:t>
            </w:r>
            <w:r w:rsidR="000B4DDD" w:rsidRPr="00305365">
              <w:rPr>
                <w:rFonts w:asciiTheme="minorHAnsi" w:hAnsiTheme="minorHAnsi" w:cstheme="minorHAnsi"/>
                <w:sz w:val="18"/>
                <w:szCs w:val="18"/>
              </w:rPr>
              <w:t>s</w:t>
            </w:r>
            <w:r w:rsidRPr="00305365">
              <w:rPr>
                <w:rFonts w:asciiTheme="minorHAnsi" w:hAnsiTheme="minorHAnsi" w:cstheme="minorHAnsi"/>
                <w:sz w:val="18"/>
                <w:szCs w:val="18"/>
              </w:rPr>
              <w:t xml:space="preserve"> of </w:t>
            </w:r>
            <w:r w:rsidR="000B4DDD" w:rsidRPr="00305365">
              <w:rPr>
                <w:rFonts w:asciiTheme="minorHAnsi" w:hAnsiTheme="minorHAnsi" w:cstheme="minorHAnsi"/>
                <w:sz w:val="18"/>
                <w:szCs w:val="18"/>
              </w:rPr>
              <w:t xml:space="preserve">the </w:t>
            </w:r>
            <w:r w:rsidRPr="00305365">
              <w:rPr>
                <w:rFonts w:asciiTheme="minorHAnsi" w:hAnsiTheme="minorHAnsi" w:cstheme="minorHAnsi"/>
                <w:sz w:val="18"/>
                <w:szCs w:val="18"/>
              </w:rPr>
              <w:t>National Accounts components</w:t>
            </w:r>
            <w:r w:rsidR="001971AC" w:rsidRPr="00305365">
              <w:rPr>
                <w:rFonts w:asciiTheme="minorHAnsi" w:hAnsiTheme="minorHAnsi" w:cstheme="minorHAnsi"/>
                <w:sz w:val="18"/>
                <w:szCs w:val="18"/>
              </w:rPr>
              <w:t xml:space="preserve"> and </w:t>
            </w:r>
            <w:r w:rsidR="000B4DDD" w:rsidRPr="00305365">
              <w:rPr>
                <w:rFonts w:asciiTheme="minorHAnsi" w:hAnsiTheme="minorHAnsi" w:cstheme="minorHAnsi"/>
                <w:sz w:val="18"/>
                <w:szCs w:val="18"/>
              </w:rPr>
              <w:t>the d</w:t>
            </w:r>
            <w:r w:rsidR="001971AC" w:rsidRPr="00305365">
              <w:rPr>
                <w:rFonts w:asciiTheme="minorHAnsi" w:hAnsiTheme="minorHAnsi" w:cstheme="minorHAnsi"/>
                <w:sz w:val="18"/>
                <w:szCs w:val="18"/>
              </w:rPr>
              <w:t>ebt to GDP ratio</w:t>
            </w:r>
            <w:r w:rsidRPr="00305365">
              <w:rPr>
                <w:rFonts w:asciiTheme="minorHAnsi" w:hAnsiTheme="minorHAnsi" w:cstheme="minorHAnsi"/>
                <w:sz w:val="18"/>
                <w:szCs w:val="18"/>
              </w:rPr>
              <w:t xml:space="preserve"> </w:t>
            </w:r>
            <w:r w:rsidR="000B4DDD" w:rsidRPr="00305365">
              <w:rPr>
                <w:rFonts w:asciiTheme="minorHAnsi" w:hAnsiTheme="minorHAnsi" w:cstheme="minorHAnsi"/>
                <w:sz w:val="18"/>
                <w:szCs w:val="18"/>
              </w:rPr>
              <w:t>are</w:t>
            </w:r>
            <w:r w:rsidRPr="00305365">
              <w:rPr>
                <w:rFonts w:asciiTheme="minorHAnsi" w:hAnsiTheme="minorHAnsi" w:cstheme="minorHAnsi"/>
                <w:sz w:val="18"/>
                <w:szCs w:val="18"/>
              </w:rPr>
              <w:t xml:space="preserve"> rounded to the nearest half percentage point.</w:t>
            </w:r>
          </w:p>
          <w:p w:rsidR="005D1848" w:rsidRPr="00305365" w:rsidRDefault="005D1848" w:rsidP="005D1848">
            <w:pPr>
              <w:bidi w:val="0"/>
              <w:rPr>
                <w:rFonts w:asciiTheme="minorHAnsi" w:hAnsiTheme="minorHAnsi" w:cstheme="minorHAnsi"/>
                <w:sz w:val="18"/>
                <w:szCs w:val="18"/>
              </w:rPr>
            </w:pPr>
            <w:r w:rsidRPr="00305365">
              <w:rPr>
                <w:rFonts w:asciiTheme="minorHAnsi" w:hAnsiTheme="minorHAnsi" w:cstheme="minorHAnsi"/>
                <w:sz w:val="18"/>
                <w:szCs w:val="18"/>
                <w:vertAlign w:val="superscript"/>
              </w:rPr>
              <w:t>b</w:t>
            </w:r>
            <w:r w:rsidRPr="00305365">
              <w:rPr>
                <w:rFonts w:asciiTheme="minorHAnsi" w:hAnsiTheme="minorHAnsi" w:cstheme="minorHAnsi"/>
                <w:sz w:val="18"/>
                <w:szCs w:val="18"/>
              </w:rPr>
              <w:t xml:space="preserv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  Accordingly, the adjusted employment rate does not include those temporarily absent from their jobs for economic reasons.</w:t>
            </w:r>
          </w:p>
          <w:p w:rsidR="005D1848" w:rsidRPr="00305365" w:rsidRDefault="005D1848" w:rsidP="005D1848">
            <w:pPr>
              <w:bidi w:val="0"/>
              <w:rPr>
                <w:rFonts w:asciiTheme="minorHAnsi" w:hAnsiTheme="minorHAnsi" w:cstheme="minorHAnsi"/>
                <w:sz w:val="18"/>
                <w:szCs w:val="18"/>
                <w:vertAlign w:val="superscript"/>
              </w:rPr>
            </w:pPr>
            <w:proofErr w:type="gramStart"/>
            <w:r w:rsidRPr="00305365">
              <w:rPr>
                <w:rFonts w:asciiTheme="minorHAnsi" w:hAnsiTheme="minorHAnsi" w:cstheme="minorHAnsi"/>
                <w:sz w:val="18"/>
                <w:szCs w:val="18"/>
                <w:vertAlign w:val="superscript"/>
              </w:rPr>
              <w:t>c</w:t>
            </w:r>
            <w:proofErr w:type="gramEnd"/>
            <w:r w:rsidRPr="00305365">
              <w:rPr>
                <w:rFonts w:asciiTheme="minorHAnsi" w:hAnsiTheme="minorHAnsi" w:cstheme="minorHAnsi"/>
                <w:sz w:val="18"/>
                <w:szCs w:val="18"/>
              </w:rPr>
              <w:t xml:space="preserve"> The average of the Consumer Price Index in the last quarter of the year compared with the average in the last quarter of the previous year.</w:t>
            </w:r>
          </w:p>
        </w:tc>
      </w:tr>
    </w:tbl>
    <w:p w:rsidR="00E718CD" w:rsidRPr="00305365" w:rsidRDefault="00E718CD" w:rsidP="00E718CD">
      <w:pPr>
        <w:bidi w:val="0"/>
        <w:jc w:val="both"/>
        <w:rPr>
          <w:rFonts w:asciiTheme="minorHAnsi" w:hAnsiTheme="minorHAnsi" w:cstheme="minorHAnsi"/>
          <w:b/>
          <w:bCs/>
        </w:rPr>
      </w:pPr>
    </w:p>
    <w:p w:rsidR="00A21D01" w:rsidRPr="00305365" w:rsidRDefault="00A21D01" w:rsidP="00737CE5">
      <w:pPr>
        <w:numPr>
          <w:ilvl w:val="0"/>
          <w:numId w:val="9"/>
        </w:numPr>
        <w:bidi w:val="0"/>
        <w:spacing w:line="360" w:lineRule="auto"/>
        <w:ind w:left="357" w:hanging="357"/>
        <w:jc w:val="both"/>
        <w:rPr>
          <w:rFonts w:asciiTheme="minorHAnsi" w:hAnsiTheme="minorHAnsi" w:cstheme="minorHAnsi"/>
          <w:b/>
          <w:bCs/>
        </w:rPr>
      </w:pPr>
      <w:r w:rsidRPr="00305365">
        <w:rPr>
          <w:rFonts w:asciiTheme="minorHAnsi" w:hAnsiTheme="minorHAnsi" w:cstheme="minorHAnsi"/>
          <w:b/>
          <w:bCs/>
        </w:rPr>
        <w:t xml:space="preserve">Inflation and interest rates </w:t>
      </w:r>
    </w:p>
    <w:p w:rsidR="00422142" w:rsidRPr="00305365" w:rsidRDefault="004F6E9A" w:rsidP="000D5119">
      <w:pPr>
        <w:bidi w:val="0"/>
        <w:jc w:val="both"/>
        <w:rPr>
          <w:rFonts w:asciiTheme="minorHAnsi" w:hAnsiTheme="minorHAnsi" w:cstheme="minorHAnsi"/>
        </w:rPr>
      </w:pPr>
      <w:r w:rsidRPr="00305365">
        <w:rPr>
          <w:rFonts w:asciiTheme="minorHAnsi" w:hAnsiTheme="minorHAnsi" w:cstheme="minorHAnsi"/>
        </w:rPr>
        <w:t xml:space="preserve">According to our assessment, </w:t>
      </w:r>
      <w:r w:rsidR="002260C5" w:rsidRPr="00305365">
        <w:rPr>
          <w:rFonts w:asciiTheme="minorHAnsi" w:hAnsiTheme="minorHAnsi" w:cstheme="minorHAnsi"/>
          <w:b/>
          <w:bCs/>
        </w:rPr>
        <w:t xml:space="preserve">inflation </w:t>
      </w:r>
      <w:r w:rsidR="00CF669B" w:rsidRPr="00305365">
        <w:rPr>
          <w:rFonts w:asciiTheme="minorHAnsi" w:hAnsiTheme="minorHAnsi" w:cstheme="minorHAnsi"/>
          <w:b/>
          <w:bCs/>
        </w:rPr>
        <w:t>in</w:t>
      </w:r>
      <w:r w:rsidR="00FA56BE" w:rsidRPr="00305365">
        <w:rPr>
          <w:rFonts w:asciiTheme="minorHAnsi" w:hAnsiTheme="minorHAnsi" w:cstheme="minorHAnsi"/>
          <w:b/>
          <w:bCs/>
        </w:rPr>
        <w:t xml:space="preserve"> the coming four quarters (ending in the </w:t>
      </w:r>
      <w:r w:rsidR="00422142" w:rsidRPr="00305365">
        <w:rPr>
          <w:rFonts w:asciiTheme="minorHAnsi" w:hAnsiTheme="minorHAnsi" w:cstheme="minorHAnsi"/>
          <w:b/>
          <w:bCs/>
        </w:rPr>
        <w:t>third</w:t>
      </w:r>
      <w:r w:rsidR="00FA56BE" w:rsidRPr="00305365">
        <w:rPr>
          <w:rFonts w:asciiTheme="minorHAnsi" w:hAnsiTheme="minorHAnsi" w:cstheme="minorHAnsi"/>
          <w:b/>
          <w:bCs/>
        </w:rPr>
        <w:t xml:space="preserve"> quarter of 2025) is expected to be </w:t>
      </w:r>
      <w:r w:rsidR="007A06BA" w:rsidRPr="00305365">
        <w:rPr>
          <w:rFonts w:asciiTheme="minorHAnsi" w:hAnsiTheme="minorHAnsi" w:cstheme="minorHAnsi"/>
          <w:b/>
          <w:bCs/>
        </w:rPr>
        <w:t>3.2</w:t>
      </w:r>
      <w:r w:rsidR="00FA56BE" w:rsidRPr="00305365">
        <w:rPr>
          <w:rFonts w:asciiTheme="minorHAnsi" w:hAnsiTheme="minorHAnsi" w:cstheme="minorHAnsi"/>
          <w:b/>
          <w:bCs/>
        </w:rPr>
        <w:t xml:space="preserve"> percent</w:t>
      </w:r>
      <w:r w:rsidR="001971AC" w:rsidRPr="00305365">
        <w:rPr>
          <w:rFonts w:asciiTheme="minorHAnsi" w:hAnsiTheme="minorHAnsi" w:cstheme="minorHAnsi"/>
          <w:b/>
          <w:bCs/>
        </w:rPr>
        <w:t xml:space="preserve"> </w:t>
      </w:r>
      <w:r w:rsidR="001971AC" w:rsidRPr="00305365">
        <w:rPr>
          <w:rFonts w:asciiTheme="minorHAnsi" w:hAnsiTheme="minorHAnsi" w:cstheme="minorHAnsi"/>
        </w:rPr>
        <w:t>(Table 2)</w:t>
      </w:r>
      <w:r w:rsidR="00FA56BE" w:rsidRPr="00305365">
        <w:rPr>
          <w:rFonts w:asciiTheme="minorHAnsi" w:hAnsiTheme="minorHAnsi" w:cstheme="minorHAnsi"/>
          <w:b/>
          <w:bCs/>
        </w:rPr>
        <w:t xml:space="preserve">.  </w:t>
      </w:r>
      <w:r w:rsidR="00FA56BE" w:rsidRPr="00305365">
        <w:rPr>
          <w:rFonts w:asciiTheme="minorHAnsi" w:hAnsiTheme="minorHAnsi" w:cstheme="minorHAnsi"/>
        </w:rPr>
        <w:t>Inflation in</w:t>
      </w:r>
      <w:r w:rsidR="00541457" w:rsidRPr="00305365">
        <w:rPr>
          <w:rFonts w:asciiTheme="minorHAnsi" w:hAnsiTheme="minorHAnsi" w:cstheme="minorHAnsi"/>
        </w:rPr>
        <w:t xml:space="preserve"> 202</w:t>
      </w:r>
      <w:r w:rsidR="002C2B40" w:rsidRPr="00305365">
        <w:rPr>
          <w:rFonts w:asciiTheme="minorHAnsi" w:hAnsiTheme="minorHAnsi" w:cstheme="minorHAnsi"/>
        </w:rPr>
        <w:t>4</w:t>
      </w:r>
      <w:r w:rsidR="002260C5" w:rsidRPr="00305365">
        <w:rPr>
          <w:rFonts w:asciiTheme="minorHAnsi" w:hAnsiTheme="minorHAnsi" w:cstheme="minorHAnsi"/>
        </w:rPr>
        <w:t xml:space="preserve"> is expected to be</w:t>
      </w:r>
      <w:r w:rsidR="00FA56BE" w:rsidRPr="00305365">
        <w:rPr>
          <w:rFonts w:asciiTheme="minorHAnsi" w:hAnsiTheme="minorHAnsi" w:cstheme="minorHAnsi"/>
        </w:rPr>
        <w:t xml:space="preserve"> </w:t>
      </w:r>
      <w:r w:rsidR="007A06BA" w:rsidRPr="00305365">
        <w:rPr>
          <w:rFonts w:asciiTheme="minorHAnsi" w:hAnsiTheme="minorHAnsi" w:cstheme="minorHAnsi"/>
        </w:rPr>
        <w:t>3.</w:t>
      </w:r>
      <w:r w:rsidR="00422142" w:rsidRPr="00305365">
        <w:rPr>
          <w:rFonts w:asciiTheme="minorHAnsi" w:hAnsiTheme="minorHAnsi" w:cstheme="minorHAnsi"/>
        </w:rPr>
        <w:t>8</w:t>
      </w:r>
      <w:r w:rsidR="00FA56BE" w:rsidRPr="00305365">
        <w:rPr>
          <w:rFonts w:asciiTheme="minorHAnsi" w:hAnsiTheme="minorHAnsi" w:cstheme="minorHAnsi"/>
        </w:rPr>
        <w:t xml:space="preserve"> percent</w:t>
      </w:r>
      <w:r w:rsidR="000D5119" w:rsidRPr="00305365">
        <w:rPr>
          <w:rFonts w:asciiTheme="minorHAnsi" w:hAnsiTheme="minorHAnsi" w:cstheme="minorHAnsi"/>
        </w:rPr>
        <w:t xml:space="preserve"> (compared with </w:t>
      </w:r>
      <w:r w:rsidR="00422142" w:rsidRPr="00305365">
        <w:rPr>
          <w:rFonts w:asciiTheme="minorHAnsi" w:hAnsiTheme="minorHAnsi" w:cstheme="minorHAnsi"/>
        </w:rPr>
        <w:t>3.0</w:t>
      </w:r>
      <w:r w:rsidR="000D5119" w:rsidRPr="00305365">
        <w:rPr>
          <w:rFonts w:asciiTheme="minorHAnsi" w:hAnsiTheme="minorHAnsi" w:cstheme="minorHAnsi"/>
        </w:rPr>
        <w:t xml:space="preserve"> percent in the </w:t>
      </w:r>
      <w:r w:rsidR="00422142" w:rsidRPr="00305365">
        <w:rPr>
          <w:rFonts w:asciiTheme="minorHAnsi" w:hAnsiTheme="minorHAnsi" w:cstheme="minorHAnsi"/>
        </w:rPr>
        <w:t>July</w:t>
      </w:r>
      <w:r w:rsidR="000D5119" w:rsidRPr="00305365">
        <w:rPr>
          <w:rFonts w:asciiTheme="minorHAnsi" w:hAnsiTheme="minorHAnsi" w:cstheme="minorHAnsi"/>
        </w:rPr>
        <w:t xml:space="preserve"> forecast)</w:t>
      </w:r>
      <w:r w:rsidR="00FA56BE" w:rsidRPr="00305365">
        <w:rPr>
          <w:rFonts w:asciiTheme="minorHAnsi" w:hAnsiTheme="minorHAnsi" w:cstheme="minorHAnsi"/>
        </w:rPr>
        <w:t>, and inflation 2025 is expected to be 2.</w:t>
      </w:r>
      <w:r w:rsidR="007A06BA" w:rsidRPr="00305365">
        <w:rPr>
          <w:rFonts w:asciiTheme="minorHAnsi" w:hAnsiTheme="minorHAnsi" w:cstheme="minorHAnsi"/>
        </w:rPr>
        <w:t>8</w:t>
      </w:r>
      <w:r w:rsidR="00FA56BE" w:rsidRPr="00305365">
        <w:rPr>
          <w:rFonts w:asciiTheme="minorHAnsi" w:hAnsiTheme="minorHAnsi" w:cstheme="minorHAnsi"/>
        </w:rPr>
        <w:t xml:space="preserve"> percent</w:t>
      </w:r>
      <w:r w:rsidR="00422142" w:rsidRPr="00305365">
        <w:rPr>
          <w:rFonts w:asciiTheme="minorHAnsi" w:hAnsiTheme="minorHAnsi" w:cstheme="minorHAnsi"/>
        </w:rPr>
        <w:t>, similar to July (Table 1)</w:t>
      </w:r>
      <w:r w:rsidR="00F71FEA" w:rsidRPr="00305365">
        <w:rPr>
          <w:rFonts w:asciiTheme="minorHAnsi" w:hAnsiTheme="minorHAnsi" w:cstheme="minorHAnsi"/>
        </w:rPr>
        <w:t>.</w:t>
      </w:r>
      <w:r w:rsidR="00014365" w:rsidRPr="00305365">
        <w:rPr>
          <w:rFonts w:asciiTheme="minorHAnsi" w:hAnsiTheme="minorHAnsi" w:cstheme="minorHAnsi"/>
        </w:rPr>
        <w:t xml:space="preserve">  </w:t>
      </w:r>
    </w:p>
    <w:p w:rsidR="00A15315" w:rsidRPr="00305365" w:rsidRDefault="00A15315" w:rsidP="00A15315">
      <w:pPr>
        <w:bidi w:val="0"/>
        <w:jc w:val="both"/>
        <w:rPr>
          <w:rFonts w:asciiTheme="minorHAnsi" w:hAnsiTheme="minorHAnsi" w:cstheme="minorHAnsi"/>
        </w:rPr>
      </w:pPr>
    </w:p>
    <w:p w:rsidR="00BC70AC" w:rsidRPr="00305365" w:rsidRDefault="00422142" w:rsidP="000E2E12">
      <w:pPr>
        <w:bidi w:val="0"/>
        <w:jc w:val="both"/>
        <w:rPr>
          <w:rFonts w:asciiTheme="minorHAnsi" w:hAnsiTheme="minorHAnsi" w:cstheme="minorHAnsi"/>
        </w:rPr>
      </w:pPr>
      <w:r w:rsidRPr="00305365">
        <w:rPr>
          <w:rFonts w:asciiTheme="minorHAnsi" w:hAnsiTheme="minorHAnsi" w:cstheme="minorHAnsi"/>
        </w:rPr>
        <w:t xml:space="preserve">The inflation forecast was revised upward relative to the July forecast, due to a revision of the working assumptions regarding the intensity of the fighting, and due to inflation figures that were higher than expected.  The inflation figures for recent months reflect a high inflation environment in view of the supply restrictions in the economy.  Looking forward, the </w:t>
      </w:r>
      <w:r w:rsidR="000E2E12" w:rsidRPr="00305365">
        <w:rPr>
          <w:rFonts w:asciiTheme="minorHAnsi" w:hAnsiTheme="minorHAnsi" w:cstheme="minorHAnsi"/>
        </w:rPr>
        <w:t>constraints</w:t>
      </w:r>
      <w:r w:rsidRPr="00305365">
        <w:rPr>
          <w:rFonts w:asciiTheme="minorHAnsi" w:hAnsiTheme="minorHAnsi" w:cstheme="minorHAnsi"/>
        </w:rPr>
        <w:t xml:space="preserve"> on the supply of labor are expected to remain significant in early 2025, mainly due to the mobilization of reserve soldiers, and are expected to continue contributing to domestic price increases.  In addition, similar to the July forecast, we assume that increases in indirect taxes on consumption goods will contribute to temporary increases in measured inflation.  These tax increases mainly include the expected increase in VAT (From 17 percent to 18 percent), which has already been passed by the Knesset.  </w:t>
      </w:r>
      <w:r w:rsidR="007A06BA" w:rsidRPr="00305365">
        <w:rPr>
          <w:rFonts w:asciiTheme="minorHAnsi" w:hAnsiTheme="minorHAnsi" w:cstheme="minorHAnsi"/>
        </w:rPr>
        <w:t xml:space="preserve">Net of the impact of indirect taxes, our assessment is that </w:t>
      </w:r>
      <w:r w:rsidR="009229D2" w:rsidRPr="00305365">
        <w:rPr>
          <w:rFonts w:asciiTheme="minorHAnsi" w:hAnsiTheme="minorHAnsi" w:cstheme="minorHAnsi"/>
        </w:rPr>
        <w:t xml:space="preserve">annual </w:t>
      </w:r>
      <w:r w:rsidR="007A06BA" w:rsidRPr="00305365">
        <w:rPr>
          <w:rFonts w:asciiTheme="minorHAnsi" w:hAnsiTheme="minorHAnsi" w:cstheme="minorHAnsi"/>
        </w:rPr>
        <w:t>inflation</w:t>
      </w:r>
      <w:r w:rsidR="004B2862" w:rsidRPr="00305365">
        <w:rPr>
          <w:rFonts w:asciiTheme="minorHAnsi" w:hAnsiTheme="minorHAnsi" w:cstheme="minorHAnsi"/>
        </w:rPr>
        <w:t xml:space="preserve"> in 2025</w:t>
      </w:r>
      <w:r w:rsidR="007A06BA" w:rsidRPr="00305365">
        <w:rPr>
          <w:rFonts w:asciiTheme="minorHAnsi" w:hAnsiTheme="minorHAnsi" w:cstheme="minorHAnsi"/>
        </w:rPr>
        <w:t xml:space="preserve"> will be close to the midpoint of the target range.  </w:t>
      </w:r>
    </w:p>
    <w:p w:rsidR="007A06BA" w:rsidRPr="00305365" w:rsidRDefault="007A06BA" w:rsidP="007A06BA">
      <w:pPr>
        <w:bidi w:val="0"/>
        <w:jc w:val="both"/>
        <w:rPr>
          <w:rFonts w:asciiTheme="minorHAnsi" w:hAnsiTheme="minorHAnsi" w:cstheme="minorHAnsi"/>
        </w:rPr>
      </w:pPr>
    </w:p>
    <w:p w:rsidR="007A06BA" w:rsidRPr="00305365" w:rsidRDefault="005C4E0D" w:rsidP="005D77B9">
      <w:pPr>
        <w:bidi w:val="0"/>
        <w:jc w:val="both"/>
        <w:rPr>
          <w:rFonts w:asciiTheme="minorHAnsi" w:hAnsiTheme="minorHAnsi" w:cstheme="minorHAnsi"/>
        </w:rPr>
      </w:pPr>
      <w:r w:rsidRPr="00305365">
        <w:rPr>
          <w:rFonts w:asciiTheme="minorHAnsi" w:hAnsiTheme="minorHAnsi" w:cstheme="minorHAnsi"/>
          <w:b/>
          <w:bCs/>
        </w:rPr>
        <w:t>The</w:t>
      </w:r>
      <w:r w:rsidR="000C3AA1" w:rsidRPr="00305365">
        <w:rPr>
          <w:rFonts w:asciiTheme="minorHAnsi" w:hAnsiTheme="minorHAnsi" w:cstheme="minorHAnsi"/>
          <w:b/>
          <w:bCs/>
        </w:rPr>
        <w:t xml:space="preserve"> interest rate </w:t>
      </w:r>
      <w:r w:rsidRPr="00305365">
        <w:rPr>
          <w:rFonts w:asciiTheme="minorHAnsi" w:hAnsiTheme="minorHAnsi" w:cstheme="minorHAnsi"/>
          <w:b/>
          <w:bCs/>
        </w:rPr>
        <w:t>is expected</w:t>
      </w:r>
      <w:r w:rsidR="000C3AA1" w:rsidRPr="00305365">
        <w:rPr>
          <w:rFonts w:asciiTheme="minorHAnsi" w:hAnsiTheme="minorHAnsi" w:cstheme="minorHAnsi"/>
          <w:b/>
          <w:bCs/>
        </w:rPr>
        <w:t xml:space="preserve"> </w:t>
      </w:r>
      <w:r w:rsidR="00777384" w:rsidRPr="00305365">
        <w:rPr>
          <w:rFonts w:asciiTheme="minorHAnsi" w:hAnsiTheme="minorHAnsi" w:cstheme="minorHAnsi"/>
          <w:b/>
          <w:bCs/>
        </w:rPr>
        <w:t xml:space="preserve">to </w:t>
      </w:r>
      <w:r w:rsidR="0025636F" w:rsidRPr="00305365">
        <w:rPr>
          <w:rFonts w:asciiTheme="minorHAnsi" w:hAnsiTheme="minorHAnsi" w:cstheme="minorHAnsi"/>
          <w:b/>
          <w:bCs/>
        </w:rPr>
        <w:t xml:space="preserve">be </w:t>
      </w:r>
      <w:r w:rsidR="007A06BA" w:rsidRPr="00305365">
        <w:rPr>
          <w:rFonts w:asciiTheme="minorHAnsi" w:hAnsiTheme="minorHAnsi" w:cstheme="minorHAnsi"/>
          <w:b/>
          <w:bCs/>
        </w:rPr>
        <w:t>4.5</w:t>
      </w:r>
      <w:r w:rsidR="00BC70AC" w:rsidRPr="00305365">
        <w:rPr>
          <w:rFonts w:asciiTheme="minorHAnsi" w:hAnsiTheme="minorHAnsi" w:cstheme="minorHAnsi"/>
          <w:b/>
          <w:bCs/>
        </w:rPr>
        <w:t xml:space="preserve"> per</w:t>
      </w:r>
      <w:r w:rsidR="000C3AA1" w:rsidRPr="00305365">
        <w:rPr>
          <w:rFonts w:asciiTheme="minorHAnsi" w:hAnsiTheme="minorHAnsi" w:cstheme="minorHAnsi"/>
          <w:b/>
          <w:bCs/>
        </w:rPr>
        <w:t xml:space="preserve">cent in </w:t>
      </w:r>
      <w:r w:rsidR="009523E0" w:rsidRPr="00305365">
        <w:rPr>
          <w:rFonts w:asciiTheme="minorHAnsi" w:hAnsiTheme="minorHAnsi" w:cstheme="minorHAnsi"/>
          <w:b/>
          <w:bCs/>
        </w:rPr>
        <w:t xml:space="preserve">the </w:t>
      </w:r>
      <w:r w:rsidR="005D77B9" w:rsidRPr="00305365">
        <w:rPr>
          <w:rFonts w:asciiTheme="minorHAnsi" w:hAnsiTheme="minorHAnsi" w:cstheme="minorHAnsi"/>
          <w:b/>
          <w:bCs/>
        </w:rPr>
        <w:t>third</w:t>
      </w:r>
      <w:r w:rsidR="009523E0" w:rsidRPr="00305365">
        <w:rPr>
          <w:rFonts w:asciiTheme="minorHAnsi" w:hAnsiTheme="minorHAnsi" w:cstheme="minorHAnsi"/>
          <w:b/>
          <w:bCs/>
        </w:rPr>
        <w:t xml:space="preserve"> quarter of 202</w:t>
      </w:r>
      <w:r w:rsidR="00BC70AC" w:rsidRPr="00305365">
        <w:rPr>
          <w:rFonts w:asciiTheme="minorHAnsi" w:hAnsiTheme="minorHAnsi" w:cstheme="minorHAnsi"/>
          <w:b/>
          <w:bCs/>
        </w:rPr>
        <w:t>5</w:t>
      </w:r>
      <w:r w:rsidR="000C3AA1" w:rsidRPr="00305365">
        <w:rPr>
          <w:rFonts w:asciiTheme="minorHAnsi" w:hAnsiTheme="minorHAnsi" w:cstheme="minorHAnsi"/>
        </w:rPr>
        <w:t xml:space="preserve"> (Table </w:t>
      </w:r>
      <w:r w:rsidR="001E2700" w:rsidRPr="00305365">
        <w:rPr>
          <w:rFonts w:asciiTheme="minorHAnsi" w:hAnsiTheme="minorHAnsi" w:cstheme="minorHAnsi"/>
        </w:rPr>
        <w:t>2</w:t>
      </w:r>
      <w:r w:rsidR="000C3AA1" w:rsidRPr="00305365">
        <w:rPr>
          <w:rFonts w:asciiTheme="minorHAnsi" w:hAnsiTheme="minorHAnsi" w:cstheme="minorHAnsi"/>
        </w:rPr>
        <w:t>)</w:t>
      </w:r>
      <w:r w:rsidR="00995A4F" w:rsidRPr="00305365">
        <w:rPr>
          <w:rFonts w:asciiTheme="minorHAnsi" w:hAnsiTheme="minorHAnsi" w:cstheme="minorHAnsi"/>
        </w:rPr>
        <w:t xml:space="preserve">.  </w:t>
      </w:r>
      <w:r w:rsidR="007A06BA" w:rsidRPr="00305365">
        <w:rPr>
          <w:rFonts w:asciiTheme="minorHAnsi" w:hAnsiTheme="minorHAnsi" w:cstheme="minorHAnsi"/>
        </w:rPr>
        <w:t xml:space="preserve">Due to the </w:t>
      </w:r>
      <w:r w:rsidR="005D77B9" w:rsidRPr="00305365">
        <w:rPr>
          <w:rFonts w:asciiTheme="minorHAnsi" w:hAnsiTheme="minorHAnsi" w:cstheme="minorHAnsi"/>
        </w:rPr>
        <w:t xml:space="preserve">higher inflation environment than our July assessment, in view of the continuation and expansion of the war, our assessment is that a high interest rate will be necessary for a longer period </w:t>
      </w:r>
      <w:r w:rsidR="007A06BA" w:rsidRPr="00305365">
        <w:rPr>
          <w:rFonts w:asciiTheme="minorHAnsi" w:hAnsiTheme="minorHAnsi" w:cstheme="minorHAnsi"/>
        </w:rPr>
        <w:t>in order to stabilize inflation.</w:t>
      </w:r>
    </w:p>
    <w:p w:rsidR="00682563" w:rsidRPr="00305365" w:rsidRDefault="00682563" w:rsidP="00BC70AC">
      <w:pPr>
        <w:bidi w:val="0"/>
        <w:jc w:val="both"/>
        <w:rPr>
          <w:rFonts w:asciiTheme="minorHAnsi" w:hAnsiTheme="minorHAnsi" w:cstheme="minorHAnsi"/>
        </w:rPr>
      </w:pPr>
    </w:p>
    <w:p w:rsidR="0010114F" w:rsidRPr="00305365" w:rsidRDefault="0010114F" w:rsidP="006E2552">
      <w:pPr>
        <w:bidi w:val="0"/>
        <w:jc w:val="both"/>
        <w:rPr>
          <w:rFonts w:asciiTheme="minorHAnsi" w:hAnsiTheme="minorHAnsi" w:cstheme="minorHAnsi"/>
        </w:rPr>
      </w:pPr>
    </w:p>
    <w:p w:rsidR="005F6371" w:rsidRPr="00305365" w:rsidRDefault="005F6371" w:rsidP="005F6371">
      <w:pPr>
        <w:bidi w:val="0"/>
        <w:jc w:val="both"/>
        <w:rPr>
          <w:rFonts w:asciiTheme="minorHAnsi" w:hAnsiTheme="minorHAnsi" w:cstheme="minorHAnsi"/>
        </w:rPr>
      </w:pPr>
    </w:p>
    <w:tbl>
      <w:tblPr>
        <w:tblW w:w="8233" w:type="dxa"/>
        <w:tblInd w:w="93" w:type="dxa"/>
        <w:tblLook w:val="04A0" w:firstRow="1" w:lastRow="0" w:firstColumn="1" w:lastColumn="0" w:noHBand="0" w:noVBand="1"/>
      </w:tblPr>
      <w:tblGrid>
        <w:gridCol w:w="2480"/>
        <w:gridCol w:w="2094"/>
        <w:gridCol w:w="1540"/>
        <w:gridCol w:w="2119"/>
      </w:tblGrid>
      <w:tr w:rsidR="00A21D01" w:rsidRPr="00305365" w:rsidTr="00211EF7">
        <w:trPr>
          <w:trHeight w:val="316"/>
          <w:tblHeader/>
        </w:trPr>
        <w:tc>
          <w:tcPr>
            <w:tcW w:w="8233" w:type="dxa"/>
            <w:gridSpan w:val="4"/>
            <w:tcBorders>
              <w:top w:val="nil"/>
              <w:left w:val="nil"/>
              <w:bottom w:val="nil"/>
              <w:right w:val="nil"/>
            </w:tcBorders>
            <w:shd w:val="clear" w:color="000000" w:fill="FFFFFF"/>
            <w:noWrap/>
            <w:vAlign w:val="center"/>
            <w:hideMark/>
          </w:tcPr>
          <w:p w:rsidR="00A21D01" w:rsidRPr="00305365" w:rsidRDefault="002945D2" w:rsidP="00014365">
            <w:pPr>
              <w:bidi w:val="0"/>
              <w:rPr>
                <w:rFonts w:asciiTheme="minorHAnsi" w:hAnsiTheme="minorHAnsi" w:cstheme="minorHAnsi"/>
                <w:b/>
                <w:bCs/>
                <w:color w:val="0070C0"/>
              </w:rPr>
            </w:pPr>
            <w:r w:rsidRPr="00305365">
              <w:rPr>
                <w:rFonts w:asciiTheme="minorHAnsi" w:hAnsiTheme="minorHAnsi" w:cstheme="minorHAnsi"/>
                <w:color w:val="0070C0"/>
              </w:rPr>
              <w:br w:type="page"/>
            </w:r>
            <w:r w:rsidR="00A21D01" w:rsidRPr="00305365">
              <w:rPr>
                <w:rFonts w:asciiTheme="minorHAnsi" w:hAnsiTheme="minorHAnsi" w:cstheme="minorHAnsi"/>
                <w:b/>
                <w:bCs/>
                <w:color w:val="0070C0"/>
              </w:rPr>
              <w:t xml:space="preserve">Table </w:t>
            </w:r>
            <w:r w:rsidR="00E718CD" w:rsidRPr="00305365">
              <w:rPr>
                <w:rFonts w:asciiTheme="minorHAnsi" w:hAnsiTheme="minorHAnsi" w:cstheme="minorHAnsi"/>
                <w:b/>
                <w:bCs/>
                <w:color w:val="0070C0"/>
              </w:rPr>
              <w:t>2</w:t>
            </w:r>
          </w:p>
        </w:tc>
      </w:tr>
      <w:tr w:rsidR="00A21D01" w:rsidRPr="00305365" w:rsidTr="00211EF7">
        <w:trPr>
          <w:trHeight w:val="316"/>
          <w:tblHeader/>
        </w:trPr>
        <w:tc>
          <w:tcPr>
            <w:tcW w:w="8233" w:type="dxa"/>
            <w:gridSpan w:val="4"/>
            <w:tcBorders>
              <w:top w:val="nil"/>
              <w:left w:val="nil"/>
              <w:bottom w:val="nil"/>
              <w:right w:val="nil"/>
            </w:tcBorders>
            <w:shd w:val="clear" w:color="000000" w:fill="FFFFFF"/>
            <w:noWrap/>
            <w:vAlign w:val="center"/>
            <w:hideMark/>
          </w:tcPr>
          <w:p w:rsidR="00A21D01" w:rsidRPr="00305365" w:rsidRDefault="00453D2B" w:rsidP="00D62B59">
            <w:pPr>
              <w:bidi w:val="0"/>
              <w:rPr>
                <w:rFonts w:asciiTheme="minorHAnsi" w:hAnsiTheme="minorHAnsi" w:cstheme="minorHAnsi"/>
                <w:b/>
                <w:bCs/>
                <w:color w:val="0070C0"/>
              </w:rPr>
            </w:pPr>
            <w:r w:rsidRPr="00305365">
              <w:rPr>
                <w:rFonts w:asciiTheme="minorHAnsi" w:hAnsiTheme="minorHAnsi" w:cstheme="minorHAnsi"/>
                <w:b/>
                <w:bCs/>
                <w:color w:val="0070C0"/>
              </w:rPr>
              <w:t>I</w:t>
            </w:r>
            <w:r w:rsidR="00A21D01" w:rsidRPr="00305365">
              <w:rPr>
                <w:rFonts w:asciiTheme="minorHAnsi" w:hAnsiTheme="minorHAnsi" w:cstheme="minorHAnsi"/>
                <w:b/>
                <w:bCs/>
                <w:color w:val="0070C0"/>
              </w:rPr>
              <w:t xml:space="preserve">nflation </w:t>
            </w:r>
            <w:r w:rsidRPr="00305365">
              <w:rPr>
                <w:rFonts w:asciiTheme="minorHAnsi" w:hAnsiTheme="minorHAnsi" w:cstheme="minorHAnsi"/>
                <w:b/>
                <w:bCs/>
                <w:color w:val="0070C0"/>
              </w:rPr>
              <w:t xml:space="preserve">forecast </w:t>
            </w:r>
            <w:r w:rsidR="00A21D01" w:rsidRPr="00305365">
              <w:rPr>
                <w:rFonts w:asciiTheme="minorHAnsi" w:hAnsiTheme="minorHAnsi" w:cstheme="minorHAnsi"/>
                <w:b/>
                <w:bCs/>
                <w:color w:val="0070C0"/>
              </w:rPr>
              <w:t>for the coming year</w:t>
            </w:r>
            <w:r w:rsidR="00D62B59" w:rsidRPr="00305365">
              <w:rPr>
                <w:rFonts w:asciiTheme="minorHAnsi" w:hAnsiTheme="minorHAnsi" w:cstheme="minorHAnsi"/>
                <w:b/>
                <w:bCs/>
                <w:color w:val="0070C0"/>
              </w:rPr>
              <w:t xml:space="preserve"> and interest rate forecast for one year from now</w:t>
            </w:r>
          </w:p>
        </w:tc>
      </w:tr>
      <w:tr w:rsidR="00A21D01" w:rsidRPr="00305365"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rsidR="00A21D01" w:rsidRPr="00305365" w:rsidRDefault="00A21D01" w:rsidP="00211EF7">
            <w:pPr>
              <w:bidi w:val="0"/>
              <w:jc w:val="right"/>
              <w:rPr>
                <w:rFonts w:asciiTheme="minorHAnsi" w:hAnsiTheme="minorHAnsi" w:cstheme="minorHAnsi"/>
                <w:color w:val="0070C0"/>
                <w:sz w:val="22"/>
                <w:szCs w:val="22"/>
              </w:rPr>
            </w:pPr>
            <w:r w:rsidRPr="00305365">
              <w:rPr>
                <w:rFonts w:asciiTheme="minorHAnsi" w:hAnsiTheme="minorHAnsi" w:cstheme="minorHAnsi"/>
                <w:color w:val="0070C0"/>
                <w:sz w:val="22"/>
                <w:szCs w:val="22"/>
              </w:rPr>
              <w:t>(percent)</w:t>
            </w:r>
          </w:p>
        </w:tc>
      </w:tr>
      <w:tr w:rsidR="00A21D01" w:rsidRPr="00305365" w:rsidTr="0044397B">
        <w:trPr>
          <w:trHeight w:val="683"/>
          <w:tblHeader/>
        </w:trPr>
        <w:tc>
          <w:tcPr>
            <w:tcW w:w="2480" w:type="dxa"/>
            <w:tcBorders>
              <w:top w:val="nil"/>
              <w:left w:val="nil"/>
              <w:bottom w:val="nil"/>
              <w:right w:val="nil"/>
            </w:tcBorders>
            <w:shd w:val="clear" w:color="000000" w:fill="FFFFFF"/>
            <w:vAlign w:val="center"/>
            <w:hideMark/>
          </w:tcPr>
          <w:p w:rsidR="00A21D01" w:rsidRPr="00305365" w:rsidRDefault="00A21D01" w:rsidP="0044397B">
            <w:pPr>
              <w:bidi w:val="0"/>
              <w:jc w:val="center"/>
              <w:rPr>
                <w:rFonts w:asciiTheme="minorHAnsi" w:hAnsiTheme="minorHAnsi" w:cstheme="minorHAnsi"/>
              </w:rPr>
            </w:pPr>
          </w:p>
        </w:tc>
        <w:tc>
          <w:tcPr>
            <w:tcW w:w="2094" w:type="dxa"/>
            <w:tcBorders>
              <w:top w:val="nil"/>
              <w:left w:val="nil"/>
              <w:bottom w:val="nil"/>
              <w:right w:val="nil"/>
            </w:tcBorders>
            <w:shd w:val="clear" w:color="000000" w:fill="FFFFFF"/>
            <w:vAlign w:val="center"/>
            <w:hideMark/>
          </w:tcPr>
          <w:p w:rsidR="00A21D01" w:rsidRPr="00305365" w:rsidRDefault="00A21D01" w:rsidP="0044397B">
            <w:pPr>
              <w:bidi w:val="0"/>
              <w:jc w:val="center"/>
              <w:rPr>
                <w:rFonts w:asciiTheme="minorHAnsi" w:hAnsiTheme="minorHAnsi" w:cstheme="minorHAnsi"/>
              </w:rPr>
            </w:pPr>
            <w:r w:rsidRPr="00305365">
              <w:rPr>
                <w:rFonts w:asciiTheme="minorHAnsi" w:hAnsiTheme="minorHAnsi" w:cstheme="minorHAnsi"/>
              </w:rPr>
              <w:t>Bank of Israel Research Department</w:t>
            </w:r>
          </w:p>
        </w:tc>
        <w:tc>
          <w:tcPr>
            <w:tcW w:w="1540" w:type="dxa"/>
            <w:tcBorders>
              <w:top w:val="nil"/>
              <w:left w:val="nil"/>
              <w:bottom w:val="nil"/>
              <w:right w:val="nil"/>
            </w:tcBorders>
            <w:shd w:val="clear" w:color="000000" w:fill="FFFFFF"/>
            <w:vAlign w:val="center"/>
            <w:hideMark/>
          </w:tcPr>
          <w:p w:rsidR="00A21D01" w:rsidRPr="00305365" w:rsidRDefault="00A21D01" w:rsidP="0044397B">
            <w:pPr>
              <w:bidi w:val="0"/>
              <w:jc w:val="center"/>
              <w:rPr>
                <w:rFonts w:asciiTheme="minorHAnsi" w:hAnsiTheme="minorHAnsi" w:cstheme="minorHAnsi"/>
              </w:rPr>
            </w:pPr>
            <w:r w:rsidRPr="00305365">
              <w:rPr>
                <w:rFonts w:asciiTheme="minorHAnsi" w:hAnsiTheme="minorHAnsi" w:cstheme="minorHAnsi"/>
              </w:rPr>
              <w:t xml:space="preserve">Capital </w:t>
            </w:r>
            <w:proofErr w:type="spellStart"/>
            <w:r w:rsidRPr="00305365">
              <w:rPr>
                <w:rFonts w:asciiTheme="minorHAnsi" w:hAnsiTheme="minorHAnsi" w:cstheme="minorHAnsi"/>
              </w:rPr>
              <w:t>markets</w:t>
            </w:r>
            <w:r w:rsidR="00446B32" w:rsidRPr="00305365">
              <w:rPr>
                <w:rFonts w:asciiTheme="minorHAnsi" w:hAnsiTheme="minorHAnsi" w:cstheme="minorHAnsi"/>
                <w:vertAlign w:val="superscript"/>
              </w:rPr>
              <w:t>a</w:t>
            </w:r>
            <w:proofErr w:type="spellEnd"/>
          </w:p>
        </w:tc>
        <w:tc>
          <w:tcPr>
            <w:tcW w:w="2119" w:type="dxa"/>
            <w:tcBorders>
              <w:top w:val="nil"/>
              <w:left w:val="nil"/>
              <w:bottom w:val="nil"/>
              <w:right w:val="nil"/>
            </w:tcBorders>
            <w:shd w:val="clear" w:color="000000" w:fill="FFFFFF"/>
            <w:vAlign w:val="center"/>
            <w:hideMark/>
          </w:tcPr>
          <w:p w:rsidR="00A21D01" w:rsidRPr="00305365" w:rsidRDefault="00A21D01" w:rsidP="0044397B">
            <w:pPr>
              <w:bidi w:val="0"/>
              <w:jc w:val="center"/>
              <w:rPr>
                <w:rFonts w:asciiTheme="minorHAnsi" w:hAnsiTheme="minorHAnsi" w:cstheme="minorHAnsi"/>
              </w:rPr>
            </w:pPr>
            <w:r w:rsidRPr="00305365">
              <w:rPr>
                <w:rFonts w:asciiTheme="minorHAnsi" w:hAnsiTheme="minorHAnsi" w:cstheme="minorHAnsi"/>
              </w:rPr>
              <w:t xml:space="preserve">Private </w:t>
            </w:r>
            <w:proofErr w:type="spellStart"/>
            <w:r w:rsidRPr="00305365">
              <w:rPr>
                <w:rFonts w:asciiTheme="minorHAnsi" w:hAnsiTheme="minorHAnsi" w:cstheme="minorHAnsi"/>
              </w:rPr>
              <w:t>forecasters</w:t>
            </w:r>
            <w:r w:rsidR="00446B32" w:rsidRPr="00305365">
              <w:rPr>
                <w:rFonts w:asciiTheme="minorHAnsi" w:hAnsiTheme="minorHAnsi" w:cstheme="minorHAnsi"/>
                <w:vertAlign w:val="superscript"/>
              </w:rPr>
              <w:t>b</w:t>
            </w:r>
            <w:proofErr w:type="spellEnd"/>
          </w:p>
        </w:tc>
      </w:tr>
      <w:tr w:rsidR="00F53855" w:rsidRPr="00305365" w:rsidTr="00BE556B">
        <w:trPr>
          <w:trHeight w:val="280"/>
          <w:tblHeader/>
        </w:trPr>
        <w:tc>
          <w:tcPr>
            <w:tcW w:w="2480" w:type="dxa"/>
            <w:tcBorders>
              <w:top w:val="single" w:sz="4" w:space="0" w:color="auto"/>
              <w:left w:val="nil"/>
              <w:bottom w:val="nil"/>
              <w:right w:val="nil"/>
            </w:tcBorders>
            <w:shd w:val="clear" w:color="auto" w:fill="auto"/>
            <w:vAlign w:val="center"/>
            <w:hideMark/>
          </w:tcPr>
          <w:p w:rsidR="00F53855" w:rsidRPr="00305365" w:rsidRDefault="00F53855" w:rsidP="0044397B">
            <w:pPr>
              <w:bidi w:val="0"/>
              <w:jc w:val="center"/>
              <w:rPr>
                <w:rFonts w:asciiTheme="minorHAnsi" w:hAnsiTheme="minorHAnsi" w:cstheme="minorHAnsi"/>
              </w:rPr>
            </w:pPr>
            <w:r w:rsidRPr="00305365">
              <w:rPr>
                <w:rFonts w:asciiTheme="minorHAnsi" w:hAnsiTheme="minorHAnsi" w:cstheme="minorHAnsi"/>
              </w:rPr>
              <w:t xml:space="preserve">Inflation </w:t>
            </w:r>
            <w:proofErr w:type="spellStart"/>
            <w:r w:rsidRPr="00305365">
              <w:rPr>
                <w:rFonts w:asciiTheme="minorHAnsi" w:hAnsiTheme="minorHAnsi" w:cstheme="minorHAnsi"/>
              </w:rPr>
              <w:t>rate</w:t>
            </w:r>
            <w:r w:rsidR="00446B32" w:rsidRPr="00305365">
              <w:rPr>
                <w:rFonts w:asciiTheme="minorHAnsi" w:hAnsiTheme="minorHAnsi" w:cstheme="minorHAnsi"/>
                <w:vertAlign w:val="superscript"/>
              </w:rPr>
              <w:t>c</w:t>
            </w:r>
            <w:proofErr w:type="spellEnd"/>
          </w:p>
        </w:tc>
        <w:tc>
          <w:tcPr>
            <w:tcW w:w="2094" w:type="dxa"/>
            <w:tcBorders>
              <w:top w:val="single" w:sz="4" w:space="0" w:color="auto"/>
              <w:left w:val="nil"/>
              <w:bottom w:val="nil"/>
              <w:right w:val="nil"/>
            </w:tcBorders>
            <w:shd w:val="clear" w:color="auto" w:fill="auto"/>
            <w:vAlign w:val="center"/>
          </w:tcPr>
          <w:p w:rsidR="00A2696D" w:rsidRPr="00305365" w:rsidRDefault="007A06BA" w:rsidP="00BC70AC">
            <w:pPr>
              <w:bidi w:val="0"/>
              <w:jc w:val="center"/>
              <w:rPr>
                <w:rFonts w:asciiTheme="minorHAnsi" w:hAnsiTheme="minorHAnsi" w:cstheme="minorHAnsi"/>
              </w:rPr>
            </w:pPr>
            <w:r w:rsidRPr="00305365">
              <w:rPr>
                <w:rFonts w:asciiTheme="minorHAnsi" w:hAnsiTheme="minorHAnsi" w:cstheme="minorHAnsi"/>
              </w:rPr>
              <w:t>3.2</w:t>
            </w:r>
          </w:p>
        </w:tc>
        <w:tc>
          <w:tcPr>
            <w:tcW w:w="1540" w:type="dxa"/>
            <w:tcBorders>
              <w:top w:val="single" w:sz="4" w:space="0" w:color="auto"/>
              <w:left w:val="nil"/>
              <w:bottom w:val="nil"/>
              <w:right w:val="nil"/>
            </w:tcBorders>
            <w:shd w:val="clear" w:color="auto" w:fill="auto"/>
            <w:vAlign w:val="center"/>
          </w:tcPr>
          <w:p w:rsidR="00F53855" w:rsidRPr="00305365" w:rsidRDefault="00B85FD7" w:rsidP="00003666">
            <w:pPr>
              <w:bidi w:val="0"/>
              <w:jc w:val="center"/>
              <w:rPr>
                <w:rFonts w:asciiTheme="minorHAnsi" w:hAnsiTheme="minorHAnsi" w:cstheme="minorHAnsi"/>
              </w:rPr>
            </w:pPr>
            <w:r w:rsidRPr="00305365">
              <w:rPr>
                <w:rFonts w:asciiTheme="minorHAnsi" w:hAnsiTheme="minorHAnsi" w:cstheme="minorHAnsi"/>
              </w:rPr>
              <w:t>3.2</w:t>
            </w:r>
          </w:p>
        </w:tc>
        <w:tc>
          <w:tcPr>
            <w:tcW w:w="2119" w:type="dxa"/>
            <w:tcBorders>
              <w:top w:val="single" w:sz="4" w:space="0" w:color="auto"/>
              <w:left w:val="nil"/>
              <w:bottom w:val="nil"/>
              <w:right w:val="nil"/>
            </w:tcBorders>
            <w:shd w:val="clear" w:color="auto" w:fill="auto"/>
            <w:vAlign w:val="center"/>
          </w:tcPr>
          <w:p w:rsidR="00F53855" w:rsidRPr="00305365" w:rsidRDefault="007A06BA" w:rsidP="000D5119">
            <w:pPr>
              <w:bidi w:val="0"/>
              <w:jc w:val="center"/>
              <w:rPr>
                <w:rFonts w:asciiTheme="minorHAnsi" w:hAnsiTheme="minorHAnsi" w:cstheme="minorHAnsi"/>
              </w:rPr>
            </w:pPr>
            <w:r w:rsidRPr="00305365">
              <w:rPr>
                <w:rFonts w:asciiTheme="minorHAnsi" w:hAnsiTheme="minorHAnsi" w:cstheme="minorHAnsi"/>
              </w:rPr>
              <w:t>3.0</w:t>
            </w:r>
          </w:p>
        </w:tc>
      </w:tr>
      <w:tr w:rsidR="00F53855" w:rsidRPr="00305365" w:rsidTr="00BE556B">
        <w:trPr>
          <w:trHeight w:val="281"/>
          <w:tblHeader/>
        </w:trPr>
        <w:tc>
          <w:tcPr>
            <w:tcW w:w="2480" w:type="dxa"/>
            <w:tcBorders>
              <w:top w:val="nil"/>
              <w:left w:val="nil"/>
              <w:bottom w:val="single" w:sz="4" w:space="0" w:color="auto"/>
              <w:right w:val="nil"/>
            </w:tcBorders>
            <w:shd w:val="clear" w:color="auto" w:fill="auto"/>
            <w:vAlign w:val="center"/>
            <w:hideMark/>
          </w:tcPr>
          <w:p w:rsidR="00F53855" w:rsidRPr="00305365" w:rsidRDefault="00F53855" w:rsidP="0044397B">
            <w:pPr>
              <w:bidi w:val="0"/>
              <w:jc w:val="center"/>
              <w:rPr>
                <w:rFonts w:asciiTheme="minorHAnsi" w:hAnsiTheme="minorHAnsi" w:cstheme="minorHAnsi"/>
              </w:rPr>
            </w:pPr>
            <w:r w:rsidRPr="00305365">
              <w:rPr>
                <w:rFonts w:asciiTheme="minorHAnsi" w:hAnsiTheme="minorHAnsi" w:cstheme="minorHAnsi"/>
              </w:rPr>
              <w:t>(range of forecasts)</w:t>
            </w:r>
          </w:p>
        </w:tc>
        <w:tc>
          <w:tcPr>
            <w:tcW w:w="2094" w:type="dxa"/>
            <w:tcBorders>
              <w:top w:val="nil"/>
              <w:left w:val="nil"/>
              <w:bottom w:val="single" w:sz="4" w:space="0" w:color="auto"/>
              <w:right w:val="nil"/>
            </w:tcBorders>
            <w:shd w:val="clear" w:color="auto" w:fill="auto"/>
            <w:vAlign w:val="center"/>
          </w:tcPr>
          <w:p w:rsidR="00F53855" w:rsidRPr="00305365" w:rsidRDefault="00F53855" w:rsidP="0044397B">
            <w:pPr>
              <w:bidi w:val="0"/>
              <w:jc w:val="center"/>
              <w:rPr>
                <w:rFonts w:asciiTheme="minorHAnsi" w:hAnsiTheme="minorHAnsi" w:cstheme="minorHAnsi"/>
              </w:rPr>
            </w:pPr>
          </w:p>
        </w:tc>
        <w:tc>
          <w:tcPr>
            <w:tcW w:w="1540" w:type="dxa"/>
            <w:tcBorders>
              <w:top w:val="nil"/>
              <w:left w:val="nil"/>
              <w:bottom w:val="single" w:sz="4" w:space="0" w:color="auto"/>
              <w:right w:val="nil"/>
            </w:tcBorders>
            <w:shd w:val="clear" w:color="auto" w:fill="auto"/>
            <w:vAlign w:val="center"/>
          </w:tcPr>
          <w:p w:rsidR="00F53855" w:rsidRPr="00305365" w:rsidRDefault="00F53855" w:rsidP="0044397B">
            <w:pPr>
              <w:bidi w:val="0"/>
              <w:jc w:val="center"/>
              <w:rPr>
                <w:rFonts w:asciiTheme="minorHAnsi" w:hAnsiTheme="minorHAnsi" w:cstheme="minorHAnsi"/>
              </w:rPr>
            </w:pPr>
          </w:p>
        </w:tc>
        <w:tc>
          <w:tcPr>
            <w:tcW w:w="2119" w:type="dxa"/>
            <w:tcBorders>
              <w:top w:val="nil"/>
              <w:left w:val="nil"/>
              <w:bottom w:val="nil"/>
              <w:right w:val="nil"/>
            </w:tcBorders>
            <w:shd w:val="clear" w:color="auto" w:fill="auto"/>
            <w:noWrap/>
            <w:vAlign w:val="center"/>
          </w:tcPr>
          <w:p w:rsidR="00F53855" w:rsidRPr="00305365" w:rsidRDefault="000D5119" w:rsidP="00B540ED">
            <w:pPr>
              <w:bidi w:val="0"/>
              <w:jc w:val="center"/>
              <w:rPr>
                <w:rFonts w:asciiTheme="minorHAnsi" w:hAnsiTheme="minorHAnsi" w:cstheme="minorHAnsi"/>
              </w:rPr>
            </w:pPr>
            <w:r w:rsidRPr="00305365">
              <w:rPr>
                <w:rFonts w:asciiTheme="minorHAnsi" w:hAnsiTheme="minorHAnsi" w:cstheme="minorHAnsi"/>
              </w:rPr>
              <w:t>(2.6–3.3)</w:t>
            </w:r>
          </w:p>
        </w:tc>
      </w:tr>
      <w:tr w:rsidR="00F53855" w:rsidRPr="00305365" w:rsidTr="004C2B26">
        <w:trPr>
          <w:trHeight w:val="274"/>
          <w:tblHeader/>
        </w:trPr>
        <w:tc>
          <w:tcPr>
            <w:tcW w:w="2480" w:type="dxa"/>
            <w:tcBorders>
              <w:top w:val="nil"/>
              <w:left w:val="nil"/>
              <w:bottom w:val="nil"/>
              <w:right w:val="nil"/>
            </w:tcBorders>
            <w:shd w:val="clear" w:color="auto" w:fill="auto"/>
            <w:vAlign w:val="center"/>
            <w:hideMark/>
          </w:tcPr>
          <w:p w:rsidR="00F53855" w:rsidRPr="00305365" w:rsidRDefault="00F53855" w:rsidP="0044397B">
            <w:pPr>
              <w:bidi w:val="0"/>
              <w:jc w:val="center"/>
              <w:rPr>
                <w:rFonts w:asciiTheme="minorHAnsi" w:hAnsiTheme="minorHAnsi" w:cstheme="minorHAnsi"/>
              </w:rPr>
            </w:pPr>
            <w:r w:rsidRPr="00305365">
              <w:rPr>
                <w:rFonts w:asciiTheme="minorHAnsi" w:hAnsiTheme="minorHAnsi" w:cstheme="minorHAnsi"/>
              </w:rPr>
              <w:t>Interest rate</w:t>
            </w:r>
            <w:r w:rsidR="00446B32" w:rsidRPr="00305365">
              <w:rPr>
                <w:rFonts w:asciiTheme="minorHAnsi" w:hAnsiTheme="minorHAnsi" w:cstheme="minorHAnsi"/>
                <w:vertAlign w:val="superscript"/>
              </w:rPr>
              <w:t>d</w:t>
            </w:r>
          </w:p>
        </w:tc>
        <w:tc>
          <w:tcPr>
            <w:tcW w:w="2094" w:type="dxa"/>
            <w:tcBorders>
              <w:top w:val="nil"/>
              <w:left w:val="nil"/>
              <w:bottom w:val="nil"/>
              <w:right w:val="nil"/>
            </w:tcBorders>
            <w:shd w:val="clear" w:color="auto" w:fill="auto"/>
            <w:vAlign w:val="center"/>
          </w:tcPr>
          <w:p w:rsidR="00F53855" w:rsidRPr="00305365" w:rsidRDefault="007A06BA" w:rsidP="005D77B9">
            <w:pPr>
              <w:bidi w:val="0"/>
              <w:jc w:val="center"/>
              <w:rPr>
                <w:rFonts w:asciiTheme="minorHAnsi" w:hAnsiTheme="minorHAnsi" w:cstheme="minorHAnsi"/>
              </w:rPr>
            </w:pPr>
            <w:r w:rsidRPr="00305365">
              <w:rPr>
                <w:rFonts w:asciiTheme="minorHAnsi" w:hAnsiTheme="minorHAnsi" w:cstheme="minorHAnsi"/>
              </w:rPr>
              <w:t>4.5</w:t>
            </w:r>
          </w:p>
        </w:tc>
        <w:tc>
          <w:tcPr>
            <w:tcW w:w="1540" w:type="dxa"/>
            <w:tcBorders>
              <w:top w:val="nil"/>
              <w:left w:val="nil"/>
              <w:bottom w:val="nil"/>
              <w:right w:val="nil"/>
            </w:tcBorders>
            <w:shd w:val="clear" w:color="auto" w:fill="auto"/>
            <w:vAlign w:val="center"/>
          </w:tcPr>
          <w:p w:rsidR="004C2B26" w:rsidRPr="00305365" w:rsidRDefault="007A06BA" w:rsidP="005D77B9">
            <w:pPr>
              <w:bidi w:val="0"/>
              <w:jc w:val="center"/>
              <w:rPr>
                <w:rFonts w:asciiTheme="minorHAnsi" w:hAnsiTheme="minorHAnsi" w:cstheme="minorHAnsi"/>
              </w:rPr>
            </w:pPr>
            <w:r w:rsidRPr="00305365">
              <w:rPr>
                <w:rFonts w:asciiTheme="minorHAnsi" w:hAnsiTheme="minorHAnsi" w:cstheme="minorHAnsi"/>
              </w:rPr>
              <w:t>4.</w:t>
            </w:r>
            <w:r w:rsidR="00B85FD7" w:rsidRPr="00305365">
              <w:rPr>
                <w:rFonts w:asciiTheme="minorHAnsi" w:hAnsiTheme="minorHAnsi" w:cstheme="minorHAnsi"/>
              </w:rPr>
              <w:t>5</w:t>
            </w:r>
          </w:p>
        </w:tc>
        <w:tc>
          <w:tcPr>
            <w:tcW w:w="2119" w:type="dxa"/>
            <w:tcBorders>
              <w:top w:val="single" w:sz="4" w:space="0" w:color="auto"/>
              <w:left w:val="nil"/>
              <w:bottom w:val="nil"/>
              <w:right w:val="nil"/>
            </w:tcBorders>
            <w:shd w:val="clear" w:color="auto" w:fill="auto"/>
            <w:vAlign w:val="center"/>
            <w:hideMark/>
          </w:tcPr>
          <w:p w:rsidR="00F53855" w:rsidRPr="00305365" w:rsidRDefault="007A06BA" w:rsidP="005D77B9">
            <w:pPr>
              <w:bidi w:val="0"/>
              <w:jc w:val="center"/>
              <w:rPr>
                <w:rFonts w:asciiTheme="minorHAnsi" w:hAnsiTheme="minorHAnsi" w:cstheme="minorHAnsi"/>
                <w:rtl/>
              </w:rPr>
            </w:pPr>
            <w:r w:rsidRPr="00305365">
              <w:rPr>
                <w:rFonts w:asciiTheme="minorHAnsi" w:hAnsiTheme="minorHAnsi" w:cstheme="minorHAnsi"/>
              </w:rPr>
              <w:t>4.</w:t>
            </w:r>
            <w:r w:rsidR="005D77B9" w:rsidRPr="00305365">
              <w:rPr>
                <w:rFonts w:asciiTheme="minorHAnsi" w:hAnsiTheme="minorHAnsi" w:cstheme="minorHAnsi"/>
              </w:rPr>
              <w:t>2</w:t>
            </w:r>
            <w:r w:rsidR="00AF613D" w:rsidRPr="00305365">
              <w:rPr>
                <w:rFonts w:asciiTheme="minorHAnsi" w:hAnsiTheme="minorHAnsi" w:cstheme="minorHAnsi"/>
              </w:rPr>
              <w:t>5</w:t>
            </w:r>
          </w:p>
        </w:tc>
      </w:tr>
      <w:tr w:rsidR="00F53855" w:rsidRPr="00305365" w:rsidTr="000D5119">
        <w:trPr>
          <w:trHeight w:val="238"/>
          <w:tblHeader/>
        </w:trPr>
        <w:tc>
          <w:tcPr>
            <w:tcW w:w="2480" w:type="dxa"/>
            <w:tcBorders>
              <w:top w:val="nil"/>
              <w:left w:val="nil"/>
              <w:bottom w:val="single" w:sz="4" w:space="0" w:color="auto"/>
              <w:right w:val="nil"/>
            </w:tcBorders>
            <w:shd w:val="clear" w:color="auto" w:fill="auto"/>
            <w:vAlign w:val="center"/>
            <w:hideMark/>
          </w:tcPr>
          <w:p w:rsidR="00F53855" w:rsidRPr="00305365" w:rsidRDefault="00F53855" w:rsidP="0044397B">
            <w:pPr>
              <w:bidi w:val="0"/>
              <w:jc w:val="center"/>
              <w:rPr>
                <w:rFonts w:asciiTheme="minorHAnsi" w:hAnsiTheme="minorHAnsi" w:cstheme="minorHAnsi"/>
              </w:rPr>
            </w:pPr>
            <w:r w:rsidRPr="00305365">
              <w:rPr>
                <w:rFonts w:asciiTheme="minorHAnsi" w:hAnsiTheme="minorHAnsi" w:cstheme="minorHAnsi"/>
              </w:rPr>
              <w:t>(range of forecasts)</w:t>
            </w:r>
          </w:p>
        </w:tc>
        <w:tc>
          <w:tcPr>
            <w:tcW w:w="2094" w:type="dxa"/>
            <w:tcBorders>
              <w:top w:val="nil"/>
              <w:left w:val="nil"/>
              <w:bottom w:val="single" w:sz="4" w:space="0" w:color="auto"/>
              <w:right w:val="nil"/>
            </w:tcBorders>
            <w:shd w:val="clear" w:color="auto" w:fill="auto"/>
            <w:vAlign w:val="center"/>
            <w:hideMark/>
          </w:tcPr>
          <w:p w:rsidR="00F53855" w:rsidRPr="00305365" w:rsidRDefault="00F53855" w:rsidP="0044397B">
            <w:pPr>
              <w:bidi w:val="0"/>
              <w:jc w:val="center"/>
              <w:rPr>
                <w:rFonts w:asciiTheme="minorHAnsi" w:hAnsiTheme="minorHAnsi" w:cstheme="minorHAnsi"/>
              </w:rPr>
            </w:pPr>
          </w:p>
        </w:tc>
        <w:tc>
          <w:tcPr>
            <w:tcW w:w="1540" w:type="dxa"/>
            <w:tcBorders>
              <w:top w:val="nil"/>
              <w:left w:val="nil"/>
              <w:bottom w:val="single" w:sz="4" w:space="0" w:color="auto"/>
              <w:right w:val="nil"/>
            </w:tcBorders>
            <w:shd w:val="clear" w:color="auto" w:fill="auto"/>
            <w:vAlign w:val="center"/>
            <w:hideMark/>
          </w:tcPr>
          <w:p w:rsidR="00F53855" w:rsidRPr="00305365" w:rsidRDefault="00F53855" w:rsidP="0044397B">
            <w:pPr>
              <w:bidi w:val="0"/>
              <w:jc w:val="center"/>
              <w:rPr>
                <w:rFonts w:asciiTheme="minorHAnsi" w:hAnsiTheme="minorHAnsi" w:cstheme="minorHAnsi"/>
              </w:rPr>
            </w:pPr>
          </w:p>
        </w:tc>
        <w:tc>
          <w:tcPr>
            <w:tcW w:w="2119" w:type="dxa"/>
            <w:tcBorders>
              <w:top w:val="nil"/>
              <w:left w:val="nil"/>
              <w:bottom w:val="single" w:sz="4" w:space="0" w:color="auto"/>
              <w:right w:val="nil"/>
            </w:tcBorders>
            <w:shd w:val="clear" w:color="auto" w:fill="auto"/>
            <w:noWrap/>
            <w:vAlign w:val="center"/>
            <w:hideMark/>
          </w:tcPr>
          <w:p w:rsidR="00F53855" w:rsidRPr="00305365" w:rsidRDefault="00F53855" w:rsidP="005D77B9">
            <w:pPr>
              <w:bidi w:val="0"/>
              <w:jc w:val="center"/>
              <w:rPr>
                <w:rFonts w:asciiTheme="minorHAnsi" w:hAnsiTheme="minorHAnsi" w:cstheme="minorHAnsi"/>
              </w:rPr>
            </w:pPr>
            <w:r w:rsidRPr="00305365">
              <w:rPr>
                <w:rFonts w:asciiTheme="minorHAnsi" w:hAnsiTheme="minorHAnsi" w:cstheme="minorHAnsi"/>
              </w:rPr>
              <w:t>(</w:t>
            </w:r>
            <w:r w:rsidR="005D77B9" w:rsidRPr="00305365">
              <w:rPr>
                <w:rFonts w:asciiTheme="minorHAnsi" w:hAnsiTheme="minorHAnsi" w:cstheme="minorHAnsi"/>
              </w:rPr>
              <w:t>4.</w:t>
            </w:r>
            <w:r w:rsidR="002D3C08" w:rsidRPr="00305365">
              <w:rPr>
                <w:rFonts w:asciiTheme="minorHAnsi" w:hAnsiTheme="minorHAnsi" w:cstheme="minorHAnsi"/>
              </w:rPr>
              <w:t>0</w:t>
            </w:r>
            <w:r w:rsidR="00A2696D" w:rsidRPr="00305365">
              <w:rPr>
                <w:rFonts w:asciiTheme="minorHAnsi" w:hAnsiTheme="minorHAnsi" w:cstheme="minorHAnsi"/>
              </w:rPr>
              <w:t>–</w:t>
            </w:r>
            <w:r w:rsidR="00995A4F" w:rsidRPr="00305365">
              <w:rPr>
                <w:rFonts w:asciiTheme="minorHAnsi" w:hAnsiTheme="minorHAnsi" w:cstheme="minorHAnsi"/>
              </w:rPr>
              <w:t>4.</w:t>
            </w:r>
            <w:r w:rsidR="007A06BA" w:rsidRPr="00305365">
              <w:rPr>
                <w:rFonts w:asciiTheme="minorHAnsi" w:hAnsiTheme="minorHAnsi" w:cstheme="minorHAnsi"/>
              </w:rPr>
              <w:t>5</w:t>
            </w:r>
            <w:r w:rsidR="001C55F7" w:rsidRPr="00305365">
              <w:rPr>
                <w:rFonts w:asciiTheme="minorHAnsi" w:hAnsiTheme="minorHAnsi" w:cstheme="minorHAnsi"/>
              </w:rPr>
              <w:t>)</w:t>
            </w:r>
          </w:p>
        </w:tc>
      </w:tr>
      <w:tr w:rsidR="00A21D01" w:rsidRPr="00305365" w:rsidTr="00A21D01">
        <w:trPr>
          <w:trHeight w:val="257"/>
          <w:tblHeader/>
        </w:trPr>
        <w:tc>
          <w:tcPr>
            <w:tcW w:w="8233" w:type="dxa"/>
            <w:gridSpan w:val="4"/>
            <w:tcBorders>
              <w:top w:val="nil"/>
              <w:left w:val="nil"/>
              <w:bottom w:val="nil"/>
              <w:right w:val="nil"/>
            </w:tcBorders>
            <w:shd w:val="clear" w:color="auto" w:fill="auto"/>
            <w:hideMark/>
          </w:tcPr>
          <w:p w:rsidR="00446B32" w:rsidRPr="00305365" w:rsidRDefault="00D62B59" w:rsidP="00595042">
            <w:pPr>
              <w:pStyle w:val="af3"/>
              <w:numPr>
                <w:ilvl w:val="0"/>
                <w:numId w:val="11"/>
              </w:numPr>
              <w:bidi w:val="0"/>
              <w:rPr>
                <w:rFonts w:asciiTheme="minorHAnsi" w:hAnsiTheme="minorHAnsi" w:cstheme="minorHAnsi"/>
                <w:sz w:val="20"/>
                <w:szCs w:val="20"/>
              </w:rPr>
            </w:pPr>
            <w:r w:rsidRPr="00305365">
              <w:rPr>
                <w:rFonts w:asciiTheme="minorHAnsi" w:hAnsiTheme="minorHAnsi" w:cstheme="minorHAnsi"/>
                <w:sz w:val="20"/>
                <w:szCs w:val="20"/>
              </w:rPr>
              <w:t>Inflation expectations are seasonally adjusted</w:t>
            </w:r>
            <w:r w:rsidR="00A53FEA" w:rsidRPr="00305365">
              <w:rPr>
                <w:rFonts w:asciiTheme="minorHAnsi" w:hAnsiTheme="minorHAnsi" w:cstheme="minorHAnsi"/>
                <w:sz w:val="20"/>
                <w:szCs w:val="20"/>
              </w:rPr>
              <w:t xml:space="preserve"> (</w:t>
            </w:r>
            <w:r w:rsidR="00DA623D" w:rsidRPr="00305365">
              <w:rPr>
                <w:rFonts w:asciiTheme="minorHAnsi" w:hAnsiTheme="minorHAnsi" w:cstheme="minorHAnsi"/>
                <w:sz w:val="20"/>
                <w:szCs w:val="20"/>
              </w:rPr>
              <w:t>a</w:t>
            </w:r>
            <w:r w:rsidR="00862770" w:rsidRPr="00305365">
              <w:rPr>
                <w:rFonts w:asciiTheme="minorHAnsi" w:hAnsiTheme="minorHAnsi" w:cstheme="minorHAnsi"/>
                <w:sz w:val="20"/>
                <w:szCs w:val="20"/>
              </w:rPr>
              <w:t xml:space="preserve">s of </w:t>
            </w:r>
            <w:r w:rsidR="005263C5" w:rsidRPr="00305365">
              <w:rPr>
                <w:rFonts w:asciiTheme="minorHAnsi" w:hAnsiTheme="minorHAnsi" w:cstheme="minorHAnsi"/>
                <w:sz w:val="20"/>
                <w:szCs w:val="20"/>
              </w:rPr>
              <w:t xml:space="preserve">October </w:t>
            </w:r>
            <w:r w:rsidR="00595042" w:rsidRPr="00305365">
              <w:rPr>
                <w:rFonts w:asciiTheme="minorHAnsi" w:hAnsiTheme="minorHAnsi" w:cstheme="minorHAnsi"/>
                <w:sz w:val="20"/>
                <w:szCs w:val="20"/>
                <w:rtl/>
              </w:rPr>
              <w:t>8</w:t>
            </w:r>
            <w:r w:rsidR="00BC70AC" w:rsidRPr="00305365">
              <w:rPr>
                <w:rFonts w:asciiTheme="minorHAnsi" w:hAnsiTheme="minorHAnsi" w:cstheme="minorHAnsi"/>
                <w:sz w:val="20"/>
                <w:szCs w:val="20"/>
              </w:rPr>
              <w:t>, 2024</w:t>
            </w:r>
            <w:r w:rsidR="00DA623D" w:rsidRPr="00305365">
              <w:rPr>
                <w:rFonts w:asciiTheme="minorHAnsi" w:hAnsiTheme="minorHAnsi" w:cstheme="minorHAnsi"/>
                <w:sz w:val="20"/>
                <w:szCs w:val="20"/>
              </w:rPr>
              <w:t>)</w:t>
            </w:r>
            <w:r w:rsidR="005650EE" w:rsidRPr="00305365">
              <w:rPr>
                <w:rFonts w:asciiTheme="minorHAnsi" w:hAnsiTheme="minorHAnsi" w:cstheme="minorHAnsi"/>
                <w:sz w:val="20"/>
                <w:szCs w:val="20"/>
              </w:rPr>
              <w:t>.</w:t>
            </w:r>
          </w:p>
          <w:p w:rsidR="007A06BA" w:rsidRPr="00305365" w:rsidRDefault="007A06BA" w:rsidP="00595042">
            <w:pPr>
              <w:pStyle w:val="af3"/>
              <w:numPr>
                <w:ilvl w:val="0"/>
                <w:numId w:val="11"/>
              </w:numPr>
              <w:bidi w:val="0"/>
              <w:rPr>
                <w:rFonts w:asciiTheme="minorHAnsi" w:hAnsiTheme="minorHAnsi" w:cstheme="minorHAnsi"/>
                <w:sz w:val="20"/>
                <w:szCs w:val="20"/>
              </w:rPr>
            </w:pPr>
            <w:r w:rsidRPr="00305365">
              <w:rPr>
                <w:rFonts w:asciiTheme="minorHAnsi" w:hAnsiTheme="minorHAnsi" w:cstheme="minorHAnsi"/>
                <w:sz w:val="20"/>
                <w:szCs w:val="20"/>
              </w:rPr>
              <w:t xml:space="preserve">Data as of </w:t>
            </w:r>
            <w:r w:rsidR="00B85FD7" w:rsidRPr="00305365">
              <w:rPr>
                <w:rFonts w:asciiTheme="minorHAnsi" w:hAnsiTheme="minorHAnsi" w:cstheme="minorHAnsi"/>
                <w:sz w:val="20"/>
                <w:szCs w:val="20"/>
              </w:rPr>
              <w:t xml:space="preserve">October </w:t>
            </w:r>
            <w:r w:rsidR="00595042" w:rsidRPr="00305365">
              <w:rPr>
                <w:rFonts w:asciiTheme="minorHAnsi" w:hAnsiTheme="minorHAnsi" w:cstheme="minorHAnsi"/>
                <w:sz w:val="20"/>
                <w:szCs w:val="20"/>
                <w:rtl/>
              </w:rPr>
              <w:t>8</w:t>
            </w:r>
            <w:r w:rsidRPr="00305365">
              <w:rPr>
                <w:rFonts w:asciiTheme="minorHAnsi" w:hAnsiTheme="minorHAnsi" w:cstheme="minorHAnsi"/>
                <w:sz w:val="20"/>
                <w:szCs w:val="20"/>
              </w:rPr>
              <w:t>, 20</w:t>
            </w:r>
            <w:r w:rsidR="00B85FD7" w:rsidRPr="00305365">
              <w:rPr>
                <w:rFonts w:asciiTheme="minorHAnsi" w:hAnsiTheme="minorHAnsi" w:cstheme="minorHAnsi"/>
                <w:sz w:val="20"/>
                <w:szCs w:val="20"/>
              </w:rPr>
              <w:t>2</w:t>
            </w:r>
            <w:r w:rsidRPr="00305365">
              <w:rPr>
                <w:rFonts w:asciiTheme="minorHAnsi" w:hAnsiTheme="minorHAnsi" w:cstheme="minorHAnsi"/>
                <w:sz w:val="20"/>
                <w:szCs w:val="20"/>
              </w:rPr>
              <w:t>4.</w:t>
            </w:r>
          </w:p>
          <w:p w:rsidR="007A06BA" w:rsidRPr="00305365" w:rsidRDefault="00A21D01" w:rsidP="005D77B9">
            <w:pPr>
              <w:pStyle w:val="af3"/>
              <w:numPr>
                <w:ilvl w:val="0"/>
                <w:numId w:val="11"/>
              </w:numPr>
              <w:bidi w:val="0"/>
              <w:rPr>
                <w:rFonts w:asciiTheme="minorHAnsi" w:hAnsiTheme="minorHAnsi" w:cstheme="minorHAnsi"/>
                <w:sz w:val="20"/>
                <w:szCs w:val="20"/>
              </w:rPr>
            </w:pPr>
            <w:r w:rsidRPr="00305365">
              <w:rPr>
                <w:rFonts w:asciiTheme="minorHAnsi" w:hAnsiTheme="minorHAnsi" w:cstheme="minorHAnsi"/>
                <w:sz w:val="20"/>
                <w:szCs w:val="20"/>
              </w:rPr>
              <w:t xml:space="preserve">Research Department: </w:t>
            </w:r>
            <w:r w:rsidR="00D40032" w:rsidRPr="00305365">
              <w:rPr>
                <w:rFonts w:asciiTheme="minorHAnsi" w:hAnsiTheme="minorHAnsi" w:cstheme="minorHAnsi"/>
                <w:sz w:val="20"/>
                <w:szCs w:val="20"/>
              </w:rPr>
              <w:t xml:space="preserve">the </w:t>
            </w:r>
            <w:r w:rsidR="00DA623D" w:rsidRPr="00305365">
              <w:rPr>
                <w:rFonts w:asciiTheme="minorHAnsi" w:hAnsiTheme="minorHAnsi" w:cstheme="minorHAnsi"/>
                <w:sz w:val="20"/>
                <w:szCs w:val="20"/>
              </w:rPr>
              <w:t>inflation rate</w:t>
            </w:r>
            <w:r w:rsidR="00C51B50" w:rsidRPr="00305365">
              <w:rPr>
                <w:rFonts w:asciiTheme="minorHAnsi" w:hAnsiTheme="minorHAnsi" w:cstheme="minorHAnsi"/>
                <w:sz w:val="20"/>
                <w:szCs w:val="20"/>
              </w:rPr>
              <w:t xml:space="preserve"> </w:t>
            </w:r>
            <w:r w:rsidR="00D40032" w:rsidRPr="00305365">
              <w:rPr>
                <w:rFonts w:asciiTheme="minorHAnsi" w:hAnsiTheme="minorHAnsi" w:cstheme="minorHAnsi"/>
                <w:sz w:val="20"/>
                <w:szCs w:val="20"/>
              </w:rPr>
              <w:t xml:space="preserve">during the four quarters ending </w:t>
            </w:r>
            <w:r w:rsidR="00C51B50" w:rsidRPr="00305365">
              <w:rPr>
                <w:rFonts w:asciiTheme="minorHAnsi" w:hAnsiTheme="minorHAnsi" w:cstheme="minorHAnsi"/>
                <w:sz w:val="20"/>
                <w:szCs w:val="20"/>
              </w:rPr>
              <w:t xml:space="preserve">in the </w:t>
            </w:r>
            <w:r w:rsidR="005D77B9" w:rsidRPr="00305365">
              <w:rPr>
                <w:rFonts w:asciiTheme="minorHAnsi" w:hAnsiTheme="minorHAnsi" w:cstheme="minorHAnsi"/>
                <w:sz w:val="20"/>
                <w:szCs w:val="20"/>
              </w:rPr>
              <w:t>third</w:t>
            </w:r>
            <w:r w:rsidR="004C2B26" w:rsidRPr="00305365">
              <w:rPr>
                <w:rFonts w:asciiTheme="minorHAnsi" w:hAnsiTheme="minorHAnsi" w:cstheme="minorHAnsi"/>
                <w:sz w:val="20"/>
                <w:szCs w:val="20"/>
              </w:rPr>
              <w:t xml:space="preserve"> </w:t>
            </w:r>
            <w:r w:rsidR="00C51B50" w:rsidRPr="00305365">
              <w:rPr>
                <w:rFonts w:asciiTheme="minorHAnsi" w:hAnsiTheme="minorHAnsi" w:cstheme="minorHAnsi"/>
                <w:sz w:val="20"/>
                <w:szCs w:val="20"/>
              </w:rPr>
              <w:t>quarter of 2</w:t>
            </w:r>
            <w:r w:rsidR="00725CB0" w:rsidRPr="00305365">
              <w:rPr>
                <w:rFonts w:asciiTheme="minorHAnsi" w:hAnsiTheme="minorHAnsi" w:cstheme="minorHAnsi"/>
                <w:sz w:val="20"/>
                <w:szCs w:val="20"/>
              </w:rPr>
              <w:t>02</w:t>
            </w:r>
            <w:r w:rsidR="00BC70AC" w:rsidRPr="00305365">
              <w:rPr>
                <w:rFonts w:asciiTheme="minorHAnsi" w:hAnsiTheme="minorHAnsi" w:cstheme="minorHAnsi"/>
                <w:sz w:val="20"/>
                <w:szCs w:val="20"/>
              </w:rPr>
              <w:t>5</w:t>
            </w:r>
            <w:r w:rsidR="007864A7" w:rsidRPr="00305365">
              <w:rPr>
                <w:rFonts w:asciiTheme="minorHAnsi" w:hAnsiTheme="minorHAnsi" w:cstheme="minorHAnsi"/>
                <w:sz w:val="20"/>
                <w:szCs w:val="20"/>
              </w:rPr>
              <w:t>.</w:t>
            </w:r>
            <w:r w:rsidR="00DA623D" w:rsidRPr="00305365">
              <w:rPr>
                <w:rFonts w:asciiTheme="minorHAnsi" w:hAnsiTheme="minorHAnsi" w:cstheme="minorHAnsi"/>
                <w:sz w:val="20"/>
                <w:szCs w:val="20"/>
              </w:rPr>
              <w:t xml:space="preserve"> </w:t>
            </w:r>
          </w:p>
        </w:tc>
      </w:tr>
      <w:tr w:rsidR="00A21D01" w:rsidRPr="00305365" w:rsidTr="00A21D01">
        <w:trPr>
          <w:trHeight w:val="445"/>
          <w:tblHeader/>
        </w:trPr>
        <w:tc>
          <w:tcPr>
            <w:tcW w:w="8233" w:type="dxa"/>
            <w:gridSpan w:val="4"/>
            <w:tcBorders>
              <w:top w:val="nil"/>
              <w:left w:val="nil"/>
              <w:bottom w:val="nil"/>
              <w:right w:val="nil"/>
            </w:tcBorders>
            <w:shd w:val="clear" w:color="auto" w:fill="auto"/>
            <w:hideMark/>
          </w:tcPr>
          <w:p w:rsidR="007A06BA" w:rsidRPr="00305365" w:rsidRDefault="002945D2" w:rsidP="00595042">
            <w:pPr>
              <w:pStyle w:val="af3"/>
              <w:numPr>
                <w:ilvl w:val="0"/>
                <w:numId w:val="11"/>
              </w:numPr>
              <w:bidi w:val="0"/>
              <w:rPr>
                <w:rFonts w:asciiTheme="minorHAnsi" w:hAnsiTheme="minorHAnsi" w:cstheme="minorHAnsi"/>
                <w:sz w:val="20"/>
                <w:szCs w:val="20"/>
              </w:rPr>
            </w:pPr>
            <w:r w:rsidRPr="00305365">
              <w:rPr>
                <w:rFonts w:asciiTheme="minorHAnsi" w:hAnsiTheme="minorHAnsi" w:cstheme="minorHAnsi"/>
                <w:sz w:val="20"/>
                <w:szCs w:val="20"/>
              </w:rPr>
              <w:t>Research Department:</w:t>
            </w:r>
            <w:r w:rsidR="00862770" w:rsidRPr="00305365">
              <w:rPr>
                <w:rFonts w:asciiTheme="minorHAnsi" w:hAnsiTheme="minorHAnsi" w:cstheme="minorHAnsi"/>
                <w:sz w:val="20"/>
                <w:szCs w:val="20"/>
              </w:rPr>
              <w:t xml:space="preserve"> </w:t>
            </w:r>
            <w:r w:rsidR="00DA623D" w:rsidRPr="00305365">
              <w:rPr>
                <w:rFonts w:asciiTheme="minorHAnsi" w:hAnsiTheme="minorHAnsi" w:cstheme="minorHAnsi"/>
                <w:sz w:val="20"/>
                <w:szCs w:val="20"/>
              </w:rPr>
              <w:t xml:space="preserve">the </w:t>
            </w:r>
            <w:r w:rsidR="00862770" w:rsidRPr="00305365">
              <w:rPr>
                <w:rFonts w:asciiTheme="minorHAnsi" w:hAnsiTheme="minorHAnsi" w:cstheme="minorHAnsi"/>
                <w:sz w:val="20"/>
                <w:szCs w:val="20"/>
              </w:rPr>
              <w:t>average interest rate</w:t>
            </w:r>
            <w:r w:rsidRPr="00305365">
              <w:rPr>
                <w:rFonts w:asciiTheme="minorHAnsi" w:hAnsiTheme="minorHAnsi" w:cstheme="minorHAnsi"/>
                <w:sz w:val="20"/>
                <w:szCs w:val="20"/>
              </w:rPr>
              <w:t xml:space="preserve"> in the </w:t>
            </w:r>
            <w:r w:rsidR="005D77B9" w:rsidRPr="00305365">
              <w:rPr>
                <w:rFonts w:asciiTheme="minorHAnsi" w:hAnsiTheme="minorHAnsi" w:cstheme="minorHAnsi"/>
                <w:sz w:val="20"/>
                <w:szCs w:val="20"/>
              </w:rPr>
              <w:t>third</w:t>
            </w:r>
            <w:r w:rsidR="00725CB0" w:rsidRPr="00305365">
              <w:rPr>
                <w:rFonts w:asciiTheme="minorHAnsi" w:hAnsiTheme="minorHAnsi" w:cstheme="minorHAnsi"/>
                <w:sz w:val="20"/>
                <w:szCs w:val="20"/>
              </w:rPr>
              <w:t xml:space="preserve"> </w:t>
            </w:r>
            <w:r w:rsidRPr="00305365">
              <w:rPr>
                <w:rFonts w:asciiTheme="minorHAnsi" w:hAnsiTheme="minorHAnsi" w:cstheme="minorHAnsi"/>
                <w:sz w:val="20"/>
                <w:szCs w:val="20"/>
              </w:rPr>
              <w:t>quarter of 20</w:t>
            </w:r>
            <w:r w:rsidR="00725CB0" w:rsidRPr="00305365">
              <w:rPr>
                <w:rFonts w:asciiTheme="minorHAnsi" w:hAnsiTheme="minorHAnsi" w:cstheme="minorHAnsi"/>
                <w:sz w:val="20"/>
                <w:szCs w:val="20"/>
              </w:rPr>
              <w:t>2</w:t>
            </w:r>
            <w:r w:rsidR="00BC70AC" w:rsidRPr="00305365">
              <w:rPr>
                <w:rFonts w:asciiTheme="minorHAnsi" w:hAnsiTheme="minorHAnsi" w:cstheme="minorHAnsi"/>
                <w:sz w:val="20"/>
                <w:szCs w:val="20"/>
              </w:rPr>
              <w:t>5</w:t>
            </w:r>
            <w:r w:rsidRPr="00305365">
              <w:rPr>
                <w:rFonts w:asciiTheme="minorHAnsi" w:hAnsiTheme="minorHAnsi" w:cstheme="minorHAnsi"/>
                <w:sz w:val="20"/>
                <w:szCs w:val="20"/>
              </w:rPr>
              <w:t>. Expectations</w:t>
            </w:r>
            <w:r w:rsidR="00046EE6" w:rsidRPr="00305365">
              <w:rPr>
                <w:rFonts w:asciiTheme="minorHAnsi" w:hAnsiTheme="minorHAnsi" w:cstheme="minorHAnsi"/>
                <w:sz w:val="20"/>
                <w:szCs w:val="20"/>
              </w:rPr>
              <w:t xml:space="preserve"> derived</w:t>
            </w:r>
            <w:r w:rsidRPr="00305365">
              <w:rPr>
                <w:rFonts w:asciiTheme="minorHAnsi" w:hAnsiTheme="minorHAnsi" w:cstheme="minorHAnsi"/>
                <w:sz w:val="20"/>
                <w:szCs w:val="20"/>
              </w:rPr>
              <w:t xml:space="preserve"> from the capital market are b</w:t>
            </w:r>
            <w:r w:rsidR="004E71DD" w:rsidRPr="00305365">
              <w:rPr>
                <w:rFonts w:asciiTheme="minorHAnsi" w:hAnsiTheme="minorHAnsi" w:cstheme="minorHAnsi"/>
                <w:sz w:val="20"/>
                <w:szCs w:val="20"/>
              </w:rPr>
              <w:t>a</w:t>
            </w:r>
            <w:r w:rsidRPr="00305365">
              <w:rPr>
                <w:rFonts w:asciiTheme="minorHAnsi" w:hAnsiTheme="minorHAnsi" w:cstheme="minorHAnsi"/>
                <w:sz w:val="20"/>
                <w:szCs w:val="20"/>
              </w:rPr>
              <w:t xml:space="preserve">sed on the </w:t>
            </w:r>
            <w:proofErr w:type="spellStart"/>
            <w:r w:rsidR="00D45EF8" w:rsidRPr="00305365">
              <w:rPr>
                <w:rFonts w:asciiTheme="minorHAnsi" w:hAnsiTheme="minorHAnsi" w:cstheme="minorHAnsi"/>
                <w:sz w:val="20"/>
                <w:szCs w:val="20"/>
              </w:rPr>
              <w:t>Telbor</w:t>
            </w:r>
            <w:proofErr w:type="spellEnd"/>
            <w:r w:rsidR="00D45EF8" w:rsidRPr="00305365">
              <w:rPr>
                <w:rFonts w:asciiTheme="minorHAnsi" w:hAnsiTheme="minorHAnsi" w:cstheme="minorHAnsi"/>
                <w:sz w:val="20"/>
                <w:szCs w:val="20"/>
              </w:rPr>
              <w:t xml:space="preserve"> market</w:t>
            </w:r>
            <w:r w:rsidR="00DA623D" w:rsidRPr="00305365">
              <w:rPr>
                <w:rFonts w:asciiTheme="minorHAnsi" w:hAnsiTheme="minorHAnsi" w:cstheme="minorHAnsi"/>
                <w:sz w:val="20"/>
                <w:szCs w:val="20"/>
              </w:rPr>
              <w:t xml:space="preserve"> </w:t>
            </w:r>
            <w:r w:rsidR="00324468" w:rsidRPr="00305365">
              <w:rPr>
                <w:rFonts w:asciiTheme="minorHAnsi" w:hAnsiTheme="minorHAnsi" w:cstheme="minorHAnsi"/>
                <w:sz w:val="20"/>
                <w:szCs w:val="20"/>
              </w:rPr>
              <w:t>(</w:t>
            </w:r>
            <w:r w:rsidR="00B85FD7" w:rsidRPr="00305365">
              <w:rPr>
                <w:rFonts w:asciiTheme="minorHAnsi" w:hAnsiTheme="minorHAnsi" w:cstheme="minorHAnsi"/>
                <w:sz w:val="20"/>
                <w:szCs w:val="20"/>
              </w:rPr>
              <w:t xml:space="preserve">as of October </w:t>
            </w:r>
            <w:r w:rsidR="00595042" w:rsidRPr="00305365">
              <w:rPr>
                <w:rFonts w:asciiTheme="minorHAnsi" w:hAnsiTheme="minorHAnsi" w:cstheme="minorHAnsi"/>
                <w:sz w:val="20"/>
                <w:szCs w:val="20"/>
                <w:rtl/>
              </w:rPr>
              <w:t>8</w:t>
            </w:r>
            <w:r w:rsidR="00BC70AC" w:rsidRPr="00305365">
              <w:rPr>
                <w:rFonts w:asciiTheme="minorHAnsi" w:hAnsiTheme="minorHAnsi" w:cstheme="minorHAnsi"/>
                <w:sz w:val="20"/>
                <w:szCs w:val="20"/>
              </w:rPr>
              <w:t>, 2024</w:t>
            </w:r>
            <w:r w:rsidR="00324468" w:rsidRPr="00305365">
              <w:rPr>
                <w:rFonts w:asciiTheme="minorHAnsi" w:hAnsiTheme="minorHAnsi" w:cstheme="minorHAnsi"/>
                <w:sz w:val="20"/>
                <w:szCs w:val="20"/>
              </w:rPr>
              <w:t>)</w:t>
            </w:r>
            <w:r w:rsidRPr="00305365">
              <w:rPr>
                <w:rFonts w:asciiTheme="minorHAnsi" w:hAnsiTheme="minorHAnsi" w:cstheme="minorHAnsi"/>
                <w:sz w:val="20"/>
                <w:szCs w:val="20"/>
              </w:rPr>
              <w:t>.</w:t>
            </w:r>
          </w:p>
          <w:p w:rsidR="00FE6484" w:rsidRPr="00305365" w:rsidRDefault="00FE6484" w:rsidP="00FE6484">
            <w:pPr>
              <w:bidi w:val="0"/>
              <w:rPr>
                <w:rFonts w:asciiTheme="minorHAnsi" w:hAnsiTheme="minorHAnsi" w:cstheme="minorHAnsi"/>
                <w:sz w:val="20"/>
                <w:szCs w:val="20"/>
                <w:rtl/>
              </w:rPr>
            </w:pPr>
            <w:r w:rsidRPr="00305365">
              <w:rPr>
                <w:rFonts w:asciiTheme="minorHAnsi" w:hAnsiTheme="minorHAnsi" w:cstheme="minorHAnsi"/>
                <w:sz w:val="20"/>
                <w:szCs w:val="20"/>
              </w:rPr>
              <w:t>SOURCE: Bank of Israel.</w:t>
            </w:r>
          </w:p>
        </w:tc>
      </w:tr>
    </w:tbl>
    <w:p w:rsidR="00D211EC" w:rsidRPr="00305365" w:rsidRDefault="00D211EC" w:rsidP="009335C7">
      <w:pPr>
        <w:bidi w:val="0"/>
        <w:jc w:val="both"/>
        <w:rPr>
          <w:rFonts w:asciiTheme="minorHAnsi" w:hAnsiTheme="minorHAnsi" w:cstheme="minorHAnsi"/>
          <w:b/>
          <w:bCs/>
        </w:rPr>
      </w:pPr>
    </w:p>
    <w:p w:rsidR="00A21D01" w:rsidRPr="00305365" w:rsidRDefault="00A21D01" w:rsidP="00A21D01">
      <w:pPr>
        <w:bidi w:val="0"/>
        <w:spacing w:line="300" w:lineRule="exact"/>
        <w:jc w:val="both"/>
        <w:rPr>
          <w:rFonts w:asciiTheme="minorHAnsi" w:hAnsiTheme="minorHAnsi" w:cstheme="minorHAnsi"/>
        </w:rPr>
      </w:pPr>
    </w:p>
    <w:p w:rsidR="007A06BA" w:rsidRPr="00305365" w:rsidRDefault="007A06BA" w:rsidP="009229D2">
      <w:pPr>
        <w:bidi w:val="0"/>
        <w:spacing w:line="300" w:lineRule="exact"/>
        <w:jc w:val="both"/>
        <w:rPr>
          <w:rFonts w:asciiTheme="minorHAnsi" w:hAnsiTheme="minorHAnsi" w:cstheme="minorHAnsi"/>
        </w:rPr>
      </w:pPr>
      <w:r w:rsidRPr="00305365">
        <w:rPr>
          <w:rFonts w:asciiTheme="minorHAnsi" w:hAnsiTheme="minorHAnsi" w:cstheme="minorHAnsi"/>
        </w:rPr>
        <w:t>Table 2 shows that the Research Depart</w:t>
      </w:r>
      <w:r w:rsidR="005D77B9" w:rsidRPr="00305365">
        <w:rPr>
          <w:rFonts w:asciiTheme="minorHAnsi" w:hAnsiTheme="minorHAnsi" w:cstheme="minorHAnsi"/>
        </w:rPr>
        <w:t xml:space="preserve">ment’s inflation </w:t>
      </w:r>
      <w:r w:rsidR="009229D2" w:rsidRPr="00305365">
        <w:rPr>
          <w:rFonts w:asciiTheme="minorHAnsi" w:hAnsiTheme="minorHAnsi" w:cstheme="minorHAnsi"/>
        </w:rPr>
        <w:t xml:space="preserve">and interest rate </w:t>
      </w:r>
      <w:r w:rsidR="005D77B9" w:rsidRPr="00305365">
        <w:rPr>
          <w:rFonts w:asciiTheme="minorHAnsi" w:hAnsiTheme="minorHAnsi" w:cstheme="minorHAnsi"/>
        </w:rPr>
        <w:t>forecasts</w:t>
      </w:r>
      <w:r w:rsidR="009229D2" w:rsidRPr="00305365">
        <w:rPr>
          <w:rFonts w:asciiTheme="minorHAnsi" w:hAnsiTheme="minorHAnsi" w:cstheme="minorHAnsi"/>
        </w:rPr>
        <w:t xml:space="preserve"> are</w:t>
      </w:r>
      <w:r w:rsidR="005D77B9" w:rsidRPr="00305365">
        <w:rPr>
          <w:rFonts w:asciiTheme="minorHAnsi" w:hAnsiTheme="minorHAnsi" w:cstheme="minorHAnsi"/>
        </w:rPr>
        <w:t xml:space="preserve"> similar to </w:t>
      </w:r>
      <w:r w:rsidRPr="00305365">
        <w:rPr>
          <w:rFonts w:asciiTheme="minorHAnsi" w:hAnsiTheme="minorHAnsi" w:cstheme="minorHAnsi"/>
        </w:rPr>
        <w:t xml:space="preserve">expectations derived from the capital market and </w:t>
      </w:r>
      <w:r w:rsidR="005D77B9" w:rsidRPr="00305365">
        <w:rPr>
          <w:rFonts w:asciiTheme="minorHAnsi" w:hAnsiTheme="minorHAnsi" w:cstheme="minorHAnsi"/>
        </w:rPr>
        <w:t xml:space="preserve">slightly higher </w:t>
      </w:r>
      <w:r w:rsidRPr="00305365">
        <w:rPr>
          <w:rFonts w:asciiTheme="minorHAnsi" w:hAnsiTheme="minorHAnsi" w:cstheme="minorHAnsi"/>
        </w:rPr>
        <w:t>than the average projections of the private forecasters.</w:t>
      </w:r>
    </w:p>
    <w:p w:rsidR="007A06BA" w:rsidRPr="00305365" w:rsidRDefault="007A06BA" w:rsidP="007A06BA">
      <w:pPr>
        <w:bidi w:val="0"/>
        <w:spacing w:line="300" w:lineRule="exact"/>
        <w:jc w:val="both"/>
        <w:rPr>
          <w:rFonts w:asciiTheme="minorHAnsi" w:hAnsiTheme="minorHAnsi" w:cstheme="minorHAnsi"/>
        </w:rPr>
      </w:pPr>
    </w:p>
    <w:p w:rsidR="007A06BA" w:rsidRPr="00305365" w:rsidRDefault="007A06BA" w:rsidP="007A06BA">
      <w:pPr>
        <w:bidi w:val="0"/>
        <w:spacing w:line="300" w:lineRule="exact"/>
        <w:jc w:val="both"/>
        <w:rPr>
          <w:rFonts w:asciiTheme="minorHAnsi" w:hAnsiTheme="minorHAnsi" w:cstheme="minorHAnsi"/>
        </w:rPr>
      </w:pPr>
    </w:p>
    <w:p w:rsidR="00A21D01" w:rsidRPr="00305365" w:rsidRDefault="006648AB" w:rsidP="00202CCB">
      <w:pPr>
        <w:numPr>
          <w:ilvl w:val="0"/>
          <w:numId w:val="9"/>
        </w:numPr>
        <w:bidi w:val="0"/>
        <w:spacing w:line="360" w:lineRule="auto"/>
        <w:ind w:left="357" w:hanging="357"/>
        <w:jc w:val="both"/>
        <w:rPr>
          <w:rFonts w:asciiTheme="minorHAnsi" w:hAnsiTheme="minorHAnsi" w:cstheme="minorHAnsi"/>
          <w:b/>
          <w:bCs/>
        </w:rPr>
      </w:pPr>
      <w:r w:rsidRPr="00305365">
        <w:rPr>
          <w:rFonts w:asciiTheme="minorHAnsi" w:hAnsiTheme="minorHAnsi" w:cstheme="minorHAnsi"/>
          <w:b/>
          <w:bCs/>
        </w:rPr>
        <w:t>Main r</w:t>
      </w:r>
      <w:r w:rsidR="00A21D01" w:rsidRPr="00305365">
        <w:rPr>
          <w:rFonts w:asciiTheme="minorHAnsi" w:hAnsiTheme="minorHAnsi" w:cstheme="minorHAnsi"/>
          <w:b/>
          <w:bCs/>
        </w:rPr>
        <w:t xml:space="preserve">isks </w:t>
      </w:r>
      <w:r w:rsidR="00202CCB" w:rsidRPr="00305365">
        <w:rPr>
          <w:rFonts w:asciiTheme="minorHAnsi" w:hAnsiTheme="minorHAnsi" w:cstheme="minorHAnsi"/>
          <w:b/>
          <w:bCs/>
        </w:rPr>
        <w:t xml:space="preserve">to </w:t>
      </w:r>
      <w:r w:rsidR="00A21D01" w:rsidRPr="00305365">
        <w:rPr>
          <w:rFonts w:asciiTheme="minorHAnsi" w:hAnsiTheme="minorHAnsi" w:cstheme="minorHAnsi"/>
          <w:b/>
          <w:bCs/>
        </w:rPr>
        <w:t>the forecast</w:t>
      </w:r>
    </w:p>
    <w:p w:rsidR="00FF22EB" w:rsidRPr="00305365" w:rsidRDefault="00FF22EB" w:rsidP="00425B3F">
      <w:pPr>
        <w:bidi w:val="0"/>
        <w:jc w:val="both"/>
        <w:rPr>
          <w:rFonts w:asciiTheme="minorHAnsi" w:hAnsiTheme="minorHAnsi" w:cstheme="minorHAnsi"/>
        </w:rPr>
      </w:pPr>
    </w:p>
    <w:p w:rsidR="009229D2" w:rsidRPr="00305365" w:rsidRDefault="000D5119" w:rsidP="0009185E">
      <w:pPr>
        <w:bidi w:val="0"/>
        <w:jc w:val="both"/>
        <w:rPr>
          <w:rFonts w:asciiTheme="minorHAnsi" w:hAnsiTheme="minorHAnsi" w:cstheme="minorHAnsi"/>
        </w:rPr>
      </w:pPr>
      <w:r w:rsidRPr="00305365">
        <w:rPr>
          <w:rFonts w:asciiTheme="minorHAnsi" w:hAnsiTheme="minorHAnsi" w:cstheme="minorHAnsi"/>
        </w:rPr>
        <w:t xml:space="preserve">As </w:t>
      </w:r>
      <w:r w:rsidR="009229D2" w:rsidRPr="00305365">
        <w:rPr>
          <w:rFonts w:asciiTheme="minorHAnsi" w:hAnsiTheme="minorHAnsi" w:cstheme="minorHAnsi"/>
        </w:rPr>
        <w:t>stated</w:t>
      </w:r>
      <w:r w:rsidRPr="00305365">
        <w:rPr>
          <w:rFonts w:asciiTheme="minorHAnsi" w:hAnsiTheme="minorHAnsi" w:cstheme="minorHAnsi"/>
        </w:rPr>
        <w:t>, t</w:t>
      </w:r>
      <w:r w:rsidR="00995A4F" w:rsidRPr="00305365">
        <w:rPr>
          <w:rFonts w:asciiTheme="minorHAnsi" w:hAnsiTheme="minorHAnsi" w:cstheme="minorHAnsi"/>
        </w:rPr>
        <w:t xml:space="preserve">he </w:t>
      </w:r>
      <w:r w:rsidR="009229D2" w:rsidRPr="00305365">
        <w:rPr>
          <w:rFonts w:asciiTheme="minorHAnsi" w:hAnsiTheme="minorHAnsi" w:cstheme="minorHAnsi"/>
        </w:rPr>
        <w:t xml:space="preserve">baseline </w:t>
      </w:r>
      <w:r w:rsidR="00995A4F" w:rsidRPr="00305365">
        <w:rPr>
          <w:rFonts w:asciiTheme="minorHAnsi" w:hAnsiTheme="minorHAnsi" w:cstheme="minorHAnsi"/>
        </w:rPr>
        <w:t>forecast</w:t>
      </w:r>
      <w:r w:rsidR="00F36C49" w:rsidRPr="00305365">
        <w:rPr>
          <w:rFonts w:asciiTheme="minorHAnsi" w:hAnsiTheme="minorHAnsi" w:cstheme="minorHAnsi"/>
        </w:rPr>
        <w:t xml:space="preserve"> </w:t>
      </w:r>
      <w:r w:rsidR="00AF330E" w:rsidRPr="00305365">
        <w:rPr>
          <w:rFonts w:asciiTheme="minorHAnsi" w:hAnsiTheme="minorHAnsi" w:cstheme="minorHAnsi"/>
        </w:rPr>
        <w:t xml:space="preserve">is based on the assumption that </w:t>
      </w:r>
      <w:r w:rsidR="00F36C49" w:rsidRPr="00305365">
        <w:rPr>
          <w:rFonts w:asciiTheme="minorHAnsi" w:hAnsiTheme="minorHAnsi" w:cstheme="minorHAnsi"/>
        </w:rPr>
        <w:t xml:space="preserve">the </w:t>
      </w:r>
      <w:r w:rsidR="004B2862" w:rsidRPr="00305365">
        <w:rPr>
          <w:rFonts w:asciiTheme="minorHAnsi" w:hAnsiTheme="minorHAnsi" w:cstheme="minorHAnsi"/>
        </w:rPr>
        <w:t>direct economic impact</w:t>
      </w:r>
      <w:r w:rsidR="00660ADD" w:rsidRPr="00305365">
        <w:rPr>
          <w:rFonts w:asciiTheme="minorHAnsi" w:hAnsiTheme="minorHAnsi" w:cstheme="minorHAnsi"/>
        </w:rPr>
        <w:t xml:space="preserve"> </w:t>
      </w:r>
      <w:r w:rsidR="005F1F9D" w:rsidRPr="00305365">
        <w:rPr>
          <w:rFonts w:asciiTheme="minorHAnsi" w:hAnsiTheme="minorHAnsi" w:cstheme="minorHAnsi"/>
        </w:rPr>
        <w:t xml:space="preserve">of </w:t>
      </w:r>
      <w:r w:rsidR="00AF330E" w:rsidRPr="00305365">
        <w:rPr>
          <w:rFonts w:asciiTheme="minorHAnsi" w:hAnsiTheme="minorHAnsi" w:cstheme="minorHAnsi"/>
        </w:rPr>
        <w:t>the war</w:t>
      </w:r>
      <w:r w:rsidR="00D372F5" w:rsidRPr="00305365" w:rsidDel="00D372F5">
        <w:rPr>
          <w:rFonts w:asciiTheme="minorHAnsi" w:hAnsiTheme="minorHAnsi" w:cstheme="minorHAnsi"/>
        </w:rPr>
        <w:t xml:space="preserve"> </w:t>
      </w:r>
      <w:r w:rsidR="00D372F5" w:rsidRPr="00305365">
        <w:rPr>
          <w:rFonts w:asciiTheme="minorHAnsi" w:hAnsiTheme="minorHAnsi" w:cstheme="minorHAnsi"/>
        </w:rPr>
        <w:t>will</w:t>
      </w:r>
      <w:r w:rsidR="005F1F9D" w:rsidRPr="00305365">
        <w:rPr>
          <w:rFonts w:asciiTheme="minorHAnsi" w:hAnsiTheme="minorHAnsi" w:cstheme="minorHAnsi"/>
        </w:rPr>
        <w:t xml:space="preserve"> </w:t>
      </w:r>
      <w:r w:rsidR="002D3C08" w:rsidRPr="00305365">
        <w:rPr>
          <w:rFonts w:asciiTheme="minorHAnsi" w:hAnsiTheme="minorHAnsi" w:cstheme="minorHAnsi"/>
        </w:rPr>
        <w:t xml:space="preserve">continue </w:t>
      </w:r>
      <w:r w:rsidR="00F073B4" w:rsidRPr="00305365">
        <w:rPr>
          <w:rFonts w:asciiTheme="minorHAnsi" w:hAnsiTheme="minorHAnsi" w:cstheme="minorHAnsi"/>
        </w:rPr>
        <w:t>into early</w:t>
      </w:r>
      <w:r w:rsidR="004B2862" w:rsidRPr="00305365">
        <w:rPr>
          <w:rFonts w:asciiTheme="minorHAnsi" w:hAnsiTheme="minorHAnsi" w:cstheme="minorHAnsi"/>
        </w:rPr>
        <w:t xml:space="preserve"> 2025.</w:t>
      </w:r>
      <w:r w:rsidR="005F1F9D" w:rsidRPr="00305365">
        <w:rPr>
          <w:rFonts w:asciiTheme="minorHAnsi" w:hAnsiTheme="minorHAnsi" w:cstheme="minorHAnsi"/>
        </w:rPr>
        <w:t xml:space="preserve"> </w:t>
      </w:r>
      <w:r w:rsidR="009229D2" w:rsidRPr="00305365">
        <w:rPr>
          <w:rFonts w:asciiTheme="minorHAnsi" w:hAnsiTheme="minorHAnsi" w:cstheme="minorHAnsi"/>
        </w:rPr>
        <w:t xml:space="preserve">However, uncertainty during the current period is high, and there is increased likelihood that more </w:t>
      </w:r>
      <w:r w:rsidR="0009185E" w:rsidRPr="00305365">
        <w:rPr>
          <w:rFonts w:asciiTheme="minorHAnsi" w:hAnsiTheme="minorHAnsi" w:cstheme="minorHAnsi"/>
        </w:rPr>
        <w:t>severe</w:t>
      </w:r>
      <w:r w:rsidR="009229D2" w:rsidRPr="00305365">
        <w:rPr>
          <w:rFonts w:asciiTheme="minorHAnsi" w:hAnsiTheme="minorHAnsi" w:cstheme="minorHAnsi"/>
        </w:rPr>
        <w:t xml:space="preserve"> scenarios than the baseline forecast will be realized.  T</w:t>
      </w:r>
      <w:r w:rsidR="009229D2" w:rsidRPr="00305365">
        <w:rPr>
          <w:rFonts w:asciiTheme="minorHAnsi" w:hAnsiTheme="minorHAnsi" w:cstheme="minorHAnsi"/>
          <w:shd w:val="clear" w:color="auto" w:fill="FFFFFF"/>
        </w:rPr>
        <w:t xml:space="preserve">herefore, we also analyzed alternative scenarios that examine the expected effect of various developments concerning the duration and intensity of the war, which also may have an impact on economic developments. As expected, these scenarios indicate that the more the war intensifies and the longer it lasts, the more </w:t>
      </w:r>
      <w:r w:rsidR="0009185E" w:rsidRPr="00305365">
        <w:rPr>
          <w:rFonts w:asciiTheme="minorHAnsi" w:hAnsiTheme="minorHAnsi" w:cstheme="minorHAnsi"/>
        </w:rPr>
        <w:t xml:space="preserve">severe </w:t>
      </w:r>
      <w:r w:rsidR="009229D2" w:rsidRPr="00305365">
        <w:rPr>
          <w:rFonts w:asciiTheme="minorHAnsi" w:hAnsiTheme="minorHAnsi" w:cstheme="minorHAnsi"/>
          <w:shd w:val="clear" w:color="auto" w:fill="FFFFFF"/>
        </w:rPr>
        <w:t>its impact could be and the greater its macroeconomic implications could be.</w:t>
      </w:r>
      <w:r w:rsidR="000E2E12" w:rsidRPr="00305365">
        <w:rPr>
          <w:rFonts w:asciiTheme="minorHAnsi" w:hAnsiTheme="minorHAnsi" w:cstheme="minorHAnsi"/>
          <w:shd w:val="clear" w:color="auto" w:fill="FFFFFF"/>
        </w:rPr>
        <w:t xml:space="preserve"> </w:t>
      </w:r>
      <w:r w:rsidR="009229D2" w:rsidRPr="00305365">
        <w:rPr>
          <w:rFonts w:asciiTheme="minorHAnsi" w:hAnsiTheme="minorHAnsi" w:cstheme="minorHAnsi"/>
          <w:shd w:val="clear" w:color="auto" w:fill="FFFFFF"/>
        </w:rPr>
        <w:t xml:space="preserve">For example, we examined a scenario involving a </w:t>
      </w:r>
      <w:r w:rsidR="000E2E12" w:rsidRPr="00305365">
        <w:rPr>
          <w:rFonts w:asciiTheme="minorHAnsi" w:hAnsiTheme="minorHAnsi" w:cstheme="minorHAnsi"/>
          <w:shd w:val="clear" w:color="auto" w:fill="FFFFFF"/>
        </w:rPr>
        <w:t xml:space="preserve">further </w:t>
      </w:r>
      <w:r w:rsidR="009229D2" w:rsidRPr="00305365">
        <w:rPr>
          <w:rFonts w:asciiTheme="minorHAnsi" w:hAnsiTheme="minorHAnsi" w:cstheme="minorHAnsi"/>
          <w:shd w:val="clear" w:color="auto" w:fill="FFFFFF"/>
        </w:rPr>
        <w:t xml:space="preserve">significant temporary escalation in the war, which would require a reserve mobilization similar in scale to the beginning of the war. This would lead to an expansion of the </w:t>
      </w:r>
      <w:r w:rsidR="000E2E12" w:rsidRPr="00305365">
        <w:rPr>
          <w:rFonts w:asciiTheme="minorHAnsi" w:hAnsiTheme="minorHAnsi" w:cstheme="minorHAnsi"/>
          <w:shd w:val="clear" w:color="auto" w:fill="FFFFFF"/>
        </w:rPr>
        <w:t>constraints</w:t>
      </w:r>
      <w:r w:rsidR="009229D2" w:rsidRPr="00305365">
        <w:rPr>
          <w:rFonts w:asciiTheme="minorHAnsi" w:hAnsiTheme="minorHAnsi" w:cstheme="minorHAnsi"/>
          <w:shd w:val="clear" w:color="auto" w:fill="FFFFFF"/>
        </w:rPr>
        <w:t xml:space="preserve"> on economic activity and the shutdown of the education system for several weeks, particularly in the northern region but also in the central part of the country. </w:t>
      </w:r>
      <w:r w:rsidR="000E2E12" w:rsidRPr="00305365">
        <w:rPr>
          <w:rFonts w:asciiTheme="minorHAnsi" w:hAnsiTheme="minorHAnsi" w:cstheme="minorHAnsi"/>
          <w:shd w:val="clear" w:color="auto" w:fill="FFFFFF"/>
        </w:rPr>
        <w:t xml:space="preserve"> </w:t>
      </w:r>
      <w:r w:rsidR="009229D2" w:rsidRPr="00305365">
        <w:rPr>
          <w:rFonts w:asciiTheme="minorHAnsi" w:hAnsiTheme="minorHAnsi" w:cstheme="minorHAnsi"/>
          <w:shd w:val="clear" w:color="auto" w:fill="FFFFFF"/>
        </w:rPr>
        <w:t xml:space="preserve">According to this scenario, the worsening security situation would negatively impact annual growth, causing a significant decline in </w:t>
      </w:r>
      <w:r w:rsidR="000E2E12" w:rsidRPr="00305365">
        <w:rPr>
          <w:rFonts w:asciiTheme="minorHAnsi" w:hAnsiTheme="minorHAnsi" w:cstheme="minorHAnsi"/>
          <w:shd w:val="clear" w:color="auto" w:fill="FFFFFF"/>
        </w:rPr>
        <w:t>GDP</w:t>
      </w:r>
      <w:r w:rsidR="009229D2" w:rsidRPr="00305365">
        <w:rPr>
          <w:rFonts w:asciiTheme="minorHAnsi" w:hAnsiTheme="minorHAnsi" w:cstheme="minorHAnsi"/>
          <w:shd w:val="clear" w:color="auto" w:fill="FFFFFF"/>
        </w:rPr>
        <w:t xml:space="preserve"> in the fourth quarter of 2024. In such a scenario, with the reduction in the number of reservists and the lifting of severe activity restrictions in 2025, growth that year would be higher than in the baseline scenario. However, the level of </w:t>
      </w:r>
      <w:r w:rsidR="000E2E12" w:rsidRPr="00305365">
        <w:rPr>
          <w:rFonts w:asciiTheme="minorHAnsi" w:hAnsiTheme="minorHAnsi" w:cstheme="minorHAnsi"/>
          <w:shd w:val="clear" w:color="auto" w:fill="FFFFFF"/>
        </w:rPr>
        <w:t>GDP</w:t>
      </w:r>
      <w:r w:rsidR="009229D2" w:rsidRPr="00305365">
        <w:rPr>
          <w:rFonts w:asciiTheme="minorHAnsi" w:hAnsiTheme="minorHAnsi" w:cstheme="minorHAnsi"/>
          <w:shd w:val="clear" w:color="auto" w:fill="FFFFFF"/>
        </w:rPr>
        <w:t xml:space="preserve"> in 2025 would still be lower than in the baseline scenario. If the war extends further into 2025, supply constraints will continue to hinder the recovery of economic activity, resulting in more moderate growth and a widening gap from the baseline scenario. In such a scenario, the </w:t>
      </w:r>
      <w:r w:rsidR="009229D2" w:rsidRPr="00305365">
        <w:rPr>
          <w:rFonts w:asciiTheme="minorHAnsi" w:hAnsiTheme="minorHAnsi" w:cstheme="minorHAnsi"/>
          <w:shd w:val="clear" w:color="auto" w:fill="FFFFFF"/>
        </w:rPr>
        <w:lastRenderedPageBreak/>
        <w:t>continuation and intensification of the war would lead to a further increase in the deficit and debt due to higher defense expenditures and the impact on activity and tax revenues, necessitating additional budgetary adjustments. These could delay the convergence of inflation to its target.</w:t>
      </w:r>
    </w:p>
    <w:p w:rsidR="001E14D5" w:rsidRPr="00305365" w:rsidRDefault="001E14D5" w:rsidP="00F073B4">
      <w:pPr>
        <w:bidi w:val="0"/>
        <w:jc w:val="both"/>
        <w:rPr>
          <w:rFonts w:asciiTheme="minorHAnsi" w:hAnsiTheme="minorHAnsi" w:cstheme="minorHAnsi"/>
        </w:rPr>
      </w:pPr>
    </w:p>
    <w:p w:rsidR="00DF033B" w:rsidRPr="00305365" w:rsidRDefault="00BC70AC" w:rsidP="001E14D5">
      <w:pPr>
        <w:bidi w:val="0"/>
        <w:jc w:val="both"/>
        <w:rPr>
          <w:rFonts w:asciiTheme="minorHAnsi" w:hAnsiTheme="minorHAnsi" w:cstheme="minorHAnsi"/>
        </w:rPr>
      </w:pPr>
      <w:r w:rsidRPr="00305365">
        <w:rPr>
          <w:rFonts w:asciiTheme="minorHAnsi" w:hAnsiTheme="minorHAnsi" w:cstheme="minorHAnsi"/>
        </w:rPr>
        <w:t>Another risk</w:t>
      </w:r>
      <w:r w:rsidR="004B2862" w:rsidRPr="00305365">
        <w:rPr>
          <w:rFonts w:asciiTheme="minorHAnsi" w:hAnsiTheme="minorHAnsi" w:cstheme="minorHAnsi"/>
        </w:rPr>
        <w:t xml:space="preserve"> is that the government may only partially </w:t>
      </w:r>
      <w:r w:rsidR="00003666" w:rsidRPr="00305365">
        <w:rPr>
          <w:rFonts w:asciiTheme="minorHAnsi" w:hAnsiTheme="minorHAnsi" w:cstheme="minorHAnsi"/>
        </w:rPr>
        <w:t>make the</w:t>
      </w:r>
      <w:r w:rsidR="00F073B4" w:rsidRPr="00305365">
        <w:rPr>
          <w:rFonts w:asciiTheme="minorHAnsi" w:hAnsiTheme="minorHAnsi" w:cstheme="minorHAnsi"/>
        </w:rPr>
        <w:t xml:space="preserve"> necessary</w:t>
      </w:r>
      <w:r w:rsidR="004B2862" w:rsidRPr="00305365">
        <w:rPr>
          <w:rFonts w:asciiTheme="minorHAnsi" w:hAnsiTheme="minorHAnsi" w:cstheme="minorHAnsi"/>
        </w:rPr>
        <w:t xml:space="preserve"> fiscal adjustments</w:t>
      </w:r>
      <w:r w:rsidR="00F073B4" w:rsidRPr="00305365">
        <w:rPr>
          <w:rFonts w:asciiTheme="minorHAnsi" w:hAnsiTheme="minorHAnsi" w:cstheme="minorHAnsi"/>
        </w:rPr>
        <w:t xml:space="preserve">, primarily in view of the potential further increase in war expenses and in permanent defense expenditures. These </w:t>
      </w:r>
      <w:r w:rsidR="00DF033B" w:rsidRPr="00305365">
        <w:rPr>
          <w:rFonts w:asciiTheme="minorHAnsi" w:hAnsiTheme="minorHAnsi" w:cstheme="minorHAnsi"/>
        </w:rPr>
        <w:t xml:space="preserve">may lead to a further increase in Israel’s risk premium as a result of the markets’ </w:t>
      </w:r>
      <w:r w:rsidR="00003666" w:rsidRPr="00305365">
        <w:rPr>
          <w:rFonts w:asciiTheme="minorHAnsi" w:hAnsiTheme="minorHAnsi" w:cstheme="minorHAnsi"/>
        </w:rPr>
        <w:t xml:space="preserve">concern </w:t>
      </w:r>
      <w:r w:rsidR="00DF033B" w:rsidRPr="00305365">
        <w:rPr>
          <w:rFonts w:asciiTheme="minorHAnsi" w:hAnsiTheme="minorHAnsi" w:cstheme="minorHAnsi"/>
        </w:rPr>
        <w:t>that the deb</w:t>
      </w:r>
      <w:r w:rsidR="00F073B4" w:rsidRPr="00305365">
        <w:rPr>
          <w:rFonts w:asciiTheme="minorHAnsi" w:hAnsiTheme="minorHAnsi" w:cstheme="minorHAnsi"/>
        </w:rPr>
        <w:t>t to GDP ratio is o</w:t>
      </w:r>
      <w:r w:rsidR="00DF033B" w:rsidRPr="00305365">
        <w:rPr>
          <w:rFonts w:asciiTheme="minorHAnsi" w:hAnsiTheme="minorHAnsi" w:cstheme="minorHAnsi"/>
        </w:rPr>
        <w:t>n a divergent path.  Such a situation may lead to an impact to the economy’s growth path</w:t>
      </w:r>
      <w:r w:rsidR="00F073B4" w:rsidRPr="00305365">
        <w:rPr>
          <w:rFonts w:asciiTheme="minorHAnsi" w:hAnsiTheme="minorHAnsi" w:cstheme="minorHAnsi"/>
        </w:rPr>
        <w:t xml:space="preserve"> in the long term as well</w:t>
      </w:r>
      <w:r w:rsidR="00DF033B" w:rsidRPr="00305365">
        <w:rPr>
          <w:rFonts w:asciiTheme="minorHAnsi" w:hAnsiTheme="minorHAnsi" w:cstheme="minorHAnsi"/>
        </w:rPr>
        <w:t>, a weakening of the shekel, and increasing inflationary pressure, which would also be reflected in higher interest rates.</w:t>
      </w:r>
    </w:p>
    <w:p w:rsidR="00DF033B" w:rsidRPr="00305365" w:rsidRDefault="00DF033B" w:rsidP="00DF033B">
      <w:pPr>
        <w:bidi w:val="0"/>
        <w:jc w:val="both"/>
        <w:rPr>
          <w:rFonts w:asciiTheme="minorHAnsi" w:hAnsiTheme="minorHAnsi" w:cstheme="minorHAnsi"/>
        </w:rPr>
      </w:pPr>
    </w:p>
    <w:p w:rsidR="00C8406C" w:rsidRPr="00305365" w:rsidRDefault="00BC70AC" w:rsidP="000E2E12">
      <w:pPr>
        <w:bidi w:val="0"/>
        <w:jc w:val="both"/>
        <w:rPr>
          <w:rFonts w:asciiTheme="minorHAnsi" w:hAnsiTheme="minorHAnsi" w:cstheme="minorHAnsi"/>
        </w:rPr>
      </w:pPr>
      <w:r w:rsidRPr="00305365">
        <w:rPr>
          <w:rFonts w:asciiTheme="minorHAnsi" w:hAnsiTheme="minorHAnsi" w:cstheme="minorHAnsi"/>
        </w:rPr>
        <w:t>In view of these risks, our assessment is that the balance of risks relating to the growth forecast tends downward, while in relation to the inflation</w:t>
      </w:r>
      <w:r w:rsidR="001478D9" w:rsidRPr="00305365">
        <w:rPr>
          <w:rFonts w:asciiTheme="minorHAnsi" w:hAnsiTheme="minorHAnsi" w:cstheme="minorHAnsi"/>
        </w:rPr>
        <w:t xml:space="preserve">, </w:t>
      </w:r>
      <w:r w:rsidR="000E2E12" w:rsidRPr="00305365">
        <w:rPr>
          <w:rFonts w:asciiTheme="minorHAnsi" w:hAnsiTheme="minorHAnsi" w:cstheme="minorHAnsi"/>
        </w:rPr>
        <w:t>deficit</w:t>
      </w:r>
      <w:r w:rsidR="001478D9" w:rsidRPr="00305365">
        <w:rPr>
          <w:rFonts w:asciiTheme="minorHAnsi" w:hAnsiTheme="minorHAnsi" w:cstheme="minorHAnsi"/>
        </w:rPr>
        <w:t>,</w:t>
      </w:r>
      <w:r w:rsidRPr="00305365">
        <w:rPr>
          <w:rFonts w:asciiTheme="minorHAnsi" w:hAnsiTheme="minorHAnsi" w:cstheme="minorHAnsi"/>
        </w:rPr>
        <w:t xml:space="preserve"> and </w:t>
      </w:r>
      <w:r w:rsidR="00B85FD7" w:rsidRPr="00305365">
        <w:rPr>
          <w:rFonts w:asciiTheme="minorHAnsi" w:hAnsiTheme="minorHAnsi" w:cstheme="minorHAnsi"/>
        </w:rPr>
        <w:t>interest rate</w:t>
      </w:r>
      <w:r w:rsidR="000E2E12" w:rsidRPr="00305365">
        <w:rPr>
          <w:rFonts w:asciiTheme="minorHAnsi" w:hAnsiTheme="minorHAnsi" w:cstheme="minorHAnsi"/>
        </w:rPr>
        <w:t xml:space="preserve"> forecasts</w:t>
      </w:r>
      <w:r w:rsidRPr="00305365">
        <w:rPr>
          <w:rFonts w:asciiTheme="minorHAnsi" w:hAnsiTheme="minorHAnsi" w:cstheme="minorHAnsi"/>
        </w:rPr>
        <w:t xml:space="preserve">, </w:t>
      </w:r>
      <w:r w:rsidR="000E2E12" w:rsidRPr="00305365">
        <w:rPr>
          <w:rFonts w:asciiTheme="minorHAnsi" w:hAnsiTheme="minorHAnsi" w:cstheme="minorHAnsi"/>
        </w:rPr>
        <w:t>the balance of risks</w:t>
      </w:r>
      <w:r w:rsidRPr="00305365">
        <w:rPr>
          <w:rFonts w:asciiTheme="minorHAnsi" w:hAnsiTheme="minorHAnsi" w:cstheme="minorHAnsi"/>
        </w:rPr>
        <w:t xml:space="preserve"> tends upward.</w:t>
      </w:r>
    </w:p>
    <w:sectPr w:rsidR="00C8406C" w:rsidRPr="00305365" w:rsidSect="00CA0296">
      <w:footerReference w:type="default" r:id="rId12"/>
      <w:footerReference w:type="first" r:id="rId13"/>
      <w:pgSz w:w="11906" w:h="16838"/>
      <w:pgMar w:top="1134" w:right="1416" w:bottom="1418"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BCB" w:rsidRDefault="00CA7BCB" w:rsidP="00AD16FC">
      <w:r>
        <w:separator/>
      </w:r>
    </w:p>
  </w:endnote>
  <w:endnote w:type="continuationSeparator" w:id="0">
    <w:p w:rsidR="00CA7BCB" w:rsidRDefault="00CA7BCB"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96" w:rsidRDefault="00CA0296" w:rsidP="00CA0296">
    <w:pPr>
      <w:pStyle w:val="a5"/>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DC" w:rsidRDefault="00AE0ADC" w:rsidP="00CA0296">
    <w:pPr>
      <w:pStyle w:val="a5"/>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BCB" w:rsidRDefault="00CA7BCB" w:rsidP="00AD16FC">
      <w:r>
        <w:separator/>
      </w:r>
    </w:p>
  </w:footnote>
  <w:footnote w:type="continuationSeparator" w:id="0">
    <w:p w:rsidR="00CA7BCB" w:rsidRDefault="00CA7BCB" w:rsidP="00AD16FC">
      <w:r>
        <w:continuationSeparator/>
      </w:r>
    </w:p>
  </w:footnote>
  <w:footnote w:id="1">
    <w:p w:rsidR="00A30AC5" w:rsidRPr="00527DEB" w:rsidRDefault="00A30AC5" w:rsidP="00184300">
      <w:pPr>
        <w:pStyle w:val="aa"/>
        <w:bidi w:val="0"/>
        <w:jc w:val="both"/>
        <w:rPr>
          <w:rFonts w:asciiTheme="minorHAnsi" w:hAnsiTheme="minorHAnsi" w:cstheme="minorHAnsi"/>
          <w:rtl/>
        </w:rPr>
      </w:pPr>
      <w:r w:rsidRPr="00527DEB">
        <w:rPr>
          <w:rStyle w:val="ac"/>
          <w:rFonts w:asciiTheme="minorHAnsi" w:hAnsiTheme="minorHAnsi" w:cstheme="minorHAnsi"/>
        </w:rPr>
        <w:footnoteRef/>
      </w:r>
      <w:r w:rsidRPr="00527DEB">
        <w:rPr>
          <w:rFonts w:asciiTheme="minorHAnsi" w:hAnsiTheme="minorHAnsi" w:cstheme="minorHAnsi"/>
          <w:rtl/>
        </w:rPr>
        <w:t xml:space="preserve"> </w:t>
      </w:r>
      <w:r w:rsidRPr="00527DEB">
        <w:rPr>
          <w:rFonts w:asciiTheme="minorHAnsi" w:hAnsiTheme="minorHAnsi" w:cstheme="minorHAnsi"/>
        </w:rPr>
        <w:t xml:space="preserve"> The forecast was presented to the Bank of Israel Monetary Committee on </w:t>
      </w:r>
      <w:r w:rsidR="00184300" w:rsidRPr="00527DEB">
        <w:rPr>
          <w:rFonts w:asciiTheme="minorHAnsi" w:hAnsiTheme="minorHAnsi" w:cstheme="minorHAnsi"/>
        </w:rPr>
        <w:t>October 8</w:t>
      </w:r>
      <w:r w:rsidR="00B525D0" w:rsidRPr="00527DEB">
        <w:rPr>
          <w:rFonts w:asciiTheme="minorHAnsi" w:hAnsiTheme="minorHAnsi" w:cstheme="minorHAnsi"/>
        </w:rPr>
        <w:t>,</w:t>
      </w:r>
      <w:r w:rsidRPr="00527DEB">
        <w:rPr>
          <w:rFonts w:asciiTheme="minorHAnsi" w:hAnsiTheme="minorHAnsi" w:cstheme="minorHAnsi"/>
        </w:rPr>
        <w:t xml:space="preserve"> </w:t>
      </w:r>
      <w:r w:rsidR="009733B5" w:rsidRPr="00527DEB">
        <w:rPr>
          <w:rFonts w:asciiTheme="minorHAnsi" w:hAnsiTheme="minorHAnsi" w:cstheme="minorHAnsi"/>
        </w:rPr>
        <w:t>202</w:t>
      </w:r>
      <w:r w:rsidR="00B525D0" w:rsidRPr="00527DEB">
        <w:rPr>
          <w:rFonts w:asciiTheme="minorHAnsi" w:hAnsiTheme="minorHAnsi" w:cstheme="minorHAnsi"/>
        </w:rPr>
        <w:t>4</w:t>
      </w:r>
      <w:r w:rsidRPr="00527DEB">
        <w:rPr>
          <w:rFonts w:asciiTheme="minorHAnsi" w:hAnsiTheme="minorHAnsi" w:cstheme="minorHAnsi"/>
        </w:rPr>
        <w:t xml:space="preserve">, prior to the decision on the interest rate made on </w:t>
      </w:r>
      <w:r w:rsidR="00184300" w:rsidRPr="00527DEB">
        <w:rPr>
          <w:rFonts w:asciiTheme="minorHAnsi" w:hAnsiTheme="minorHAnsi" w:cstheme="minorHAnsi"/>
        </w:rPr>
        <w:t>October 9</w:t>
      </w:r>
      <w:r w:rsidR="00F31BDD" w:rsidRPr="00527DEB">
        <w:rPr>
          <w:rFonts w:asciiTheme="minorHAnsi" w:hAnsiTheme="minorHAnsi" w:cstheme="minorHAnsi"/>
        </w:rPr>
        <w:t>, 2024</w:t>
      </w:r>
      <w:r w:rsidR="00D81515" w:rsidRPr="00527DEB">
        <w:rPr>
          <w:rFonts w:asciiTheme="minorHAnsi" w:hAnsiTheme="minorHAnsi" w:cstheme="minorHAnsi"/>
        </w:rPr>
        <w:t>.</w:t>
      </w:r>
    </w:p>
  </w:footnote>
  <w:footnote w:id="2">
    <w:p w:rsidR="004675C1" w:rsidRDefault="004675C1" w:rsidP="00D41588">
      <w:pPr>
        <w:bidi w:val="0"/>
        <w:jc w:val="both"/>
      </w:pPr>
      <w:r w:rsidRPr="00F31BDD">
        <w:rPr>
          <w:rStyle w:val="ac"/>
          <w:sz w:val="20"/>
          <w:szCs w:val="20"/>
        </w:rPr>
        <w:footnoteRef/>
      </w:r>
      <w:r w:rsidRPr="00F31BDD">
        <w:rPr>
          <w:sz w:val="20"/>
          <w:szCs w:val="20"/>
        </w:rPr>
        <w:t xml:space="preserve"> </w:t>
      </w:r>
      <w:r w:rsidR="00F31BDD" w:rsidRPr="00F31BDD">
        <w:rPr>
          <w:sz w:val="20"/>
          <w:szCs w:val="20"/>
        </w:rPr>
        <w:t xml:space="preserve">An explanation of the macroeconomic forecasts formulated by the bank of Israel Research Department, as well as a review of the models on which they are based, appear in the Bank of Israel’s Inflation Report 31 (second quarter of 2010), Section 3c. </w:t>
      </w:r>
      <w:r w:rsidRPr="00F31BDD">
        <w:rPr>
          <w:sz w:val="20"/>
          <w:szCs w:val="20"/>
        </w:rPr>
        <w:t>A Discussion Paper on the DSGE model is available on the Bank of Israel website, under the title: “MOISE</w:t>
      </w:r>
      <w:r w:rsidRPr="00237ACD">
        <w:rPr>
          <w:sz w:val="20"/>
          <w:szCs w:val="20"/>
        </w:rPr>
        <w:t>: A DSGE Model for the Israeli Econom</w:t>
      </w:r>
      <w:r>
        <w:rPr>
          <w:sz w:val="20"/>
          <w:szCs w:val="20"/>
        </w:rPr>
        <w:t>y,” Discussion Paper No. 2012.06</w:t>
      </w:r>
      <w:r w:rsidRPr="00237ACD">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F69E1"/>
    <w:multiLevelType w:val="hybridMultilevel"/>
    <w:tmpl w:val="F9A6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03FE"/>
    <w:rsid w:val="000011B9"/>
    <w:rsid w:val="00003666"/>
    <w:rsid w:val="0000410B"/>
    <w:rsid w:val="00004767"/>
    <w:rsid w:val="000062AB"/>
    <w:rsid w:val="00006C8A"/>
    <w:rsid w:val="00007CCB"/>
    <w:rsid w:val="00012A9C"/>
    <w:rsid w:val="00012DBD"/>
    <w:rsid w:val="00014365"/>
    <w:rsid w:val="00015BD8"/>
    <w:rsid w:val="0001708B"/>
    <w:rsid w:val="000212CE"/>
    <w:rsid w:val="00021A8C"/>
    <w:rsid w:val="0002620A"/>
    <w:rsid w:val="000268BA"/>
    <w:rsid w:val="00030DCE"/>
    <w:rsid w:val="00036F1B"/>
    <w:rsid w:val="000379D4"/>
    <w:rsid w:val="0004151F"/>
    <w:rsid w:val="0004160A"/>
    <w:rsid w:val="0004176B"/>
    <w:rsid w:val="00044F2F"/>
    <w:rsid w:val="00045015"/>
    <w:rsid w:val="000463A7"/>
    <w:rsid w:val="00046EE6"/>
    <w:rsid w:val="000502B3"/>
    <w:rsid w:val="00050365"/>
    <w:rsid w:val="0005428E"/>
    <w:rsid w:val="00056568"/>
    <w:rsid w:val="00060A3E"/>
    <w:rsid w:val="00060B61"/>
    <w:rsid w:val="00060F00"/>
    <w:rsid w:val="00061D28"/>
    <w:rsid w:val="00062FE3"/>
    <w:rsid w:val="00064736"/>
    <w:rsid w:val="0006649E"/>
    <w:rsid w:val="00075533"/>
    <w:rsid w:val="00077136"/>
    <w:rsid w:val="00080851"/>
    <w:rsid w:val="000821AD"/>
    <w:rsid w:val="00083E17"/>
    <w:rsid w:val="00087BFF"/>
    <w:rsid w:val="000905F1"/>
    <w:rsid w:val="00090662"/>
    <w:rsid w:val="00090AA3"/>
    <w:rsid w:val="0009185E"/>
    <w:rsid w:val="00091EE0"/>
    <w:rsid w:val="00094471"/>
    <w:rsid w:val="00095B99"/>
    <w:rsid w:val="00095D99"/>
    <w:rsid w:val="0009681A"/>
    <w:rsid w:val="000975CA"/>
    <w:rsid w:val="00097B7A"/>
    <w:rsid w:val="000A0CDA"/>
    <w:rsid w:val="000A3230"/>
    <w:rsid w:val="000A5761"/>
    <w:rsid w:val="000A776C"/>
    <w:rsid w:val="000B2298"/>
    <w:rsid w:val="000B2D7E"/>
    <w:rsid w:val="000B4DDD"/>
    <w:rsid w:val="000B566D"/>
    <w:rsid w:val="000C0CAD"/>
    <w:rsid w:val="000C3AA1"/>
    <w:rsid w:val="000C4899"/>
    <w:rsid w:val="000C62F4"/>
    <w:rsid w:val="000C73AF"/>
    <w:rsid w:val="000C7FAC"/>
    <w:rsid w:val="000D5119"/>
    <w:rsid w:val="000D5367"/>
    <w:rsid w:val="000D5A6B"/>
    <w:rsid w:val="000E0ABD"/>
    <w:rsid w:val="000E2E12"/>
    <w:rsid w:val="000E5247"/>
    <w:rsid w:val="000E5777"/>
    <w:rsid w:val="000E72C6"/>
    <w:rsid w:val="000F2234"/>
    <w:rsid w:val="000F3385"/>
    <w:rsid w:val="000F36F2"/>
    <w:rsid w:val="000F48F1"/>
    <w:rsid w:val="000F4B6C"/>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1BFE"/>
    <w:rsid w:val="001222A5"/>
    <w:rsid w:val="001222BC"/>
    <w:rsid w:val="00122462"/>
    <w:rsid w:val="00125698"/>
    <w:rsid w:val="00130360"/>
    <w:rsid w:val="00131338"/>
    <w:rsid w:val="00131A6A"/>
    <w:rsid w:val="00134075"/>
    <w:rsid w:val="00134B36"/>
    <w:rsid w:val="00136000"/>
    <w:rsid w:val="00136B68"/>
    <w:rsid w:val="00136F62"/>
    <w:rsid w:val="00144D12"/>
    <w:rsid w:val="001478D9"/>
    <w:rsid w:val="00151EC6"/>
    <w:rsid w:val="00153D2D"/>
    <w:rsid w:val="0016240A"/>
    <w:rsid w:val="001626C6"/>
    <w:rsid w:val="0016380B"/>
    <w:rsid w:val="001643BB"/>
    <w:rsid w:val="001723D2"/>
    <w:rsid w:val="00172E4F"/>
    <w:rsid w:val="00176F0B"/>
    <w:rsid w:val="0018085C"/>
    <w:rsid w:val="00184300"/>
    <w:rsid w:val="00184744"/>
    <w:rsid w:val="001914F7"/>
    <w:rsid w:val="00191E60"/>
    <w:rsid w:val="00194094"/>
    <w:rsid w:val="001971AC"/>
    <w:rsid w:val="001A27EF"/>
    <w:rsid w:val="001A39E4"/>
    <w:rsid w:val="001A3F54"/>
    <w:rsid w:val="001A4262"/>
    <w:rsid w:val="001A44B1"/>
    <w:rsid w:val="001A5342"/>
    <w:rsid w:val="001A794B"/>
    <w:rsid w:val="001A7A07"/>
    <w:rsid w:val="001B28EA"/>
    <w:rsid w:val="001B362F"/>
    <w:rsid w:val="001B55FD"/>
    <w:rsid w:val="001B7045"/>
    <w:rsid w:val="001B7D9D"/>
    <w:rsid w:val="001C0AC9"/>
    <w:rsid w:val="001C2571"/>
    <w:rsid w:val="001C2680"/>
    <w:rsid w:val="001C3544"/>
    <w:rsid w:val="001C55F7"/>
    <w:rsid w:val="001D21D1"/>
    <w:rsid w:val="001D76F5"/>
    <w:rsid w:val="001E0DAC"/>
    <w:rsid w:val="001E1311"/>
    <w:rsid w:val="001E14D5"/>
    <w:rsid w:val="001E2700"/>
    <w:rsid w:val="001E52BF"/>
    <w:rsid w:val="001E5C9F"/>
    <w:rsid w:val="001F2F2F"/>
    <w:rsid w:val="001F390D"/>
    <w:rsid w:val="001F57FB"/>
    <w:rsid w:val="00200E9B"/>
    <w:rsid w:val="0020285E"/>
    <w:rsid w:val="00202CCB"/>
    <w:rsid w:val="00205E52"/>
    <w:rsid w:val="00206BD3"/>
    <w:rsid w:val="00207522"/>
    <w:rsid w:val="00207CCA"/>
    <w:rsid w:val="0021167C"/>
    <w:rsid w:val="00211EF7"/>
    <w:rsid w:val="00213E62"/>
    <w:rsid w:val="002142E4"/>
    <w:rsid w:val="00221B38"/>
    <w:rsid w:val="00225FAA"/>
    <w:rsid w:val="002260C5"/>
    <w:rsid w:val="00233A26"/>
    <w:rsid w:val="002345E4"/>
    <w:rsid w:val="00234A33"/>
    <w:rsid w:val="00235170"/>
    <w:rsid w:val="0023631B"/>
    <w:rsid w:val="002363D1"/>
    <w:rsid w:val="00236603"/>
    <w:rsid w:val="002405BC"/>
    <w:rsid w:val="00241E66"/>
    <w:rsid w:val="0024200C"/>
    <w:rsid w:val="00242401"/>
    <w:rsid w:val="0024299E"/>
    <w:rsid w:val="0024454F"/>
    <w:rsid w:val="0024467B"/>
    <w:rsid w:val="002452B1"/>
    <w:rsid w:val="002461FF"/>
    <w:rsid w:val="00247644"/>
    <w:rsid w:val="002512BB"/>
    <w:rsid w:val="00252B31"/>
    <w:rsid w:val="002558D9"/>
    <w:rsid w:val="0025636F"/>
    <w:rsid w:val="00256A10"/>
    <w:rsid w:val="00256BCE"/>
    <w:rsid w:val="00257892"/>
    <w:rsid w:val="002621A5"/>
    <w:rsid w:val="00262227"/>
    <w:rsid w:val="00262C88"/>
    <w:rsid w:val="00266083"/>
    <w:rsid w:val="0026626A"/>
    <w:rsid w:val="00270252"/>
    <w:rsid w:val="00273C4C"/>
    <w:rsid w:val="00275A36"/>
    <w:rsid w:val="00282853"/>
    <w:rsid w:val="002857E1"/>
    <w:rsid w:val="00291398"/>
    <w:rsid w:val="002945D2"/>
    <w:rsid w:val="002966D2"/>
    <w:rsid w:val="002A1839"/>
    <w:rsid w:val="002A3BC1"/>
    <w:rsid w:val="002A4261"/>
    <w:rsid w:val="002A4B84"/>
    <w:rsid w:val="002B1C60"/>
    <w:rsid w:val="002B2C54"/>
    <w:rsid w:val="002B3EAC"/>
    <w:rsid w:val="002C0AF6"/>
    <w:rsid w:val="002C2B40"/>
    <w:rsid w:val="002C67C7"/>
    <w:rsid w:val="002C74F7"/>
    <w:rsid w:val="002D152A"/>
    <w:rsid w:val="002D3C08"/>
    <w:rsid w:val="002D50CF"/>
    <w:rsid w:val="002D581C"/>
    <w:rsid w:val="002D6565"/>
    <w:rsid w:val="002E1A22"/>
    <w:rsid w:val="002E2BE2"/>
    <w:rsid w:val="002E37F1"/>
    <w:rsid w:val="002E3EE1"/>
    <w:rsid w:val="002E5ED3"/>
    <w:rsid w:val="002E616F"/>
    <w:rsid w:val="002F0472"/>
    <w:rsid w:val="002F70E9"/>
    <w:rsid w:val="0030038B"/>
    <w:rsid w:val="00300699"/>
    <w:rsid w:val="00302E2F"/>
    <w:rsid w:val="00303FDE"/>
    <w:rsid w:val="00304398"/>
    <w:rsid w:val="00304BF1"/>
    <w:rsid w:val="00305365"/>
    <w:rsid w:val="003071BC"/>
    <w:rsid w:val="00307FE2"/>
    <w:rsid w:val="0031335E"/>
    <w:rsid w:val="00314260"/>
    <w:rsid w:val="00314D4E"/>
    <w:rsid w:val="00320A7D"/>
    <w:rsid w:val="00322A23"/>
    <w:rsid w:val="00323260"/>
    <w:rsid w:val="00324468"/>
    <w:rsid w:val="00326605"/>
    <w:rsid w:val="00326B5C"/>
    <w:rsid w:val="00327BB0"/>
    <w:rsid w:val="00333B0C"/>
    <w:rsid w:val="003366FD"/>
    <w:rsid w:val="003379D1"/>
    <w:rsid w:val="003415C9"/>
    <w:rsid w:val="0034489A"/>
    <w:rsid w:val="00353C9A"/>
    <w:rsid w:val="00363628"/>
    <w:rsid w:val="003638DE"/>
    <w:rsid w:val="0036663A"/>
    <w:rsid w:val="00371244"/>
    <w:rsid w:val="003723AE"/>
    <w:rsid w:val="00374016"/>
    <w:rsid w:val="0037682D"/>
    <w:rsid w:val="00382474"/>
    <w:rsid w:val="0038300A"/>
    <w:rsid w:val="00391040"/>
    <w:rsid w:val="003936A5"/>
    <w:rsid w:val="003955F5"/>
    <w:rsid w:val="00395ECA"/>
    <w:rsid w:val="003979D7"/>
    <w:rsid w:val="003A16A5"/>
    <w:rsid w:val="003A247B"/>
    <w:rsid w:val="003A2BCF"/>
    <w:rsid w:val="003A6075"/>
    <w:rsid w:val="003A6415"/>
    <w:rsid w:val="003B0F6C"/>
    <w:rsid w:val="003B1806"/>
    <w:rsid w:val="003B4955"/>
    <w:rsid w:val="003B5BA1"/>
    <w:rsid w:val="003B6E09"/>
    <w:rsid w:val="003C02C4"/>
    <w:rsid w:val="003C3A13"/>
    <w:rsid w:val="003C3A73"/>
    <w:rsid w:val="003C51B3"/>
    <w:rsid w:val="003C5F5C"/>
    <w:rsid w:val="003C6D39"/>
    <w:rsid w:val="003C7BEB"/>
    <w:rsid w:val="003C7C25"/>
    <w:rsid w:val="003D04E1"/>
    <w:rsid w:val="003D3BC1"/>
    <w:rsid w:val="003D3C91"/>
    <w:rsid w:val="003D41B1"/>
    <w:rsid w:val="003D71BE"/>
    <w:rsid w:val="003E08B6"/>
    <w:rsid w:val="003E266A"/>
    <w:rsid w:val="003E5DCB"/>
    <w:rsid w:val="003F0CAA"/>
    <w:rsid w:val="003F1F24"/>
    <w:rsid w:val="003F33D5"/>
    <w:rsid w:val="003F40AA"/>
    <w:rsid w:val="003F5174"/>
    <w:rsid w:val="00404ACD"/>
    <w:rsid w:val="00407E88"/>
    <w:rsid w:val="00410736"/>
    <w:rsid w:val="00413594"/>
    <w:rsid w:val="00422142"/>
    <w:rsid w:val="00422170"/>
    <w:rsid w:val="0042257A"/>
    <w:rsid w:val="00422A8D"/>
    <w:rsid w:val="00423EEF"/>
    <w:rsid w:val="004246B5"/>
    <w:rsid w:val="004247E4"/>
    <w:rsid w:val="00425B3F"/>
    <w:rsid w:val="00425D38"/>
    <w:rsid w:val="00431AC5"/>
    <w:rsid w:val="00432907"/>
    <w:rsid w:val="00432F14"/>
    <w:rsid w:val="00434CA0"/>
    <w:rsid w:val="00435505"/>
    <w:rsid w:val="00435DE5"/>
    <w:rsid w:val="00436407"/>
    <w:rsid w:val="00442670"/>
    <w:rsid w:val="0044397B"/>
    <w:rsid w:val="00444B06"/>
    <w:rsid w:val="00446B32"/>
    <w:rsid w:val="004501E8"/>
    <w:rsid w:val="00452B89"/>
    <w:rsid w:val="00453D2B"/>
    <w:rsid w:val="00454090"/>
    <w:rsid w:val="004548EA"/>
    <w:rsid w:val="00456CAD"/>
    <w:rsid w:val="00460495"/>
    <w:rsid w:val="004634B5"/>
    <w:rsid w:val="00463684"/>
    <w:rsid w:val="004654C3"/>
    <w:rsid w:val="0046610D"/>
    <w:rsid w:val="00466491"/>
    <w:rsid w:val="00466E45"/>
    <w:rsid w:val="00467167"/>
    <w:rsid w:val="004675C1"/>
    <w:rsid w:val="004679ED"/>
    <w:rsid w:val="004706AE"/>
    <w:rsid w:val="00470DAC"/>
    <w:rsid w:val="00472053"/>
    <w:rsid w:val="0047600F"/>
    <w:rsid w:val="00477EF7"/>
    <w:rsid w:val="0048096C"/>
    <w:rsid w:val="00480B23"/>
    <w:rsid w:val="004850D5"/>
    <w:rsid w:val="00487712"/>
    <w:rsid w:val="004902DA"/>
    <w:rsid w:val="00490AF3"/>
    <w:rsid w:val="0049210C"/>
    <w:rsid w:val="0049358B"/>
    <w:rsid w:val="00493F59"/>
    <w:rsid w:val="00495C8C"/>
    <w:rsid w:val="00496D92"/>
    <w:rsid w:val="004975C8"/>
    <w:rsid w:val="004A0284"/>
    <w:rsid w:val="004A0C32"/>
    <w:rsid w:val="004A4413"/>
    <w:rsid w:val="004A4BD6"/>
    <w:rsid w:val="004A6595"/>
    <w:rsid w:val="004A7A34"/>
    <w:rsid w:val="004B16A2"/>
    <w:rsid w:val="004B178F"/>
    <w:rsid w:val="004B2862"/>
    <w:rsid w:val="004B3835"/>
    <w:rsid w:val="004B39F5"/>
    <w:rsid w:val="004B415E"/>
    <w:rsid w:val="004B687A"/>
    <w:rsid w:val="004C06F2"/>
    <w:rsid w:val="004C2B26"/>
    <w:rsid w:val="004C4648"/>
    <w:rsid w:val="004C64DB"/>
    <w:rsid w:val="004C6D8F"/>
    <w:rsid w:val="004C77DF"/>
    <w:rsid w:val="004D3688"/>
    <w:rsid w:val="004D4B4E"/>
    <w:rsid w:val="004D5A93"/>
    <w:rsid w:val="004E0BC8"/>
    <w:rsid w:val="004E1A6E"/>
    <w:rsid w:val="004E439A"/>
    <w:rsid w:val="004E4EDE"/>
    <w:rsid w:val="004E6580"/>
    <w:rsid w:val="004E71DD"/>
    <w:rsid w:val="004F5B5B"/>
    <w:rsid w:val="004F6E9A"/>
    <w:rsid w:val="004F6FA6"/>
    <w:rsid w:val="004F745B"/>
    <w:rsid w:val="004F764E"/>
    <w:rsid w:val="00500C71"/>
    <w:rsid w:val="00501059"/>
    <w:rsid w:val="00502A88"/>
    <w:rsid w:val="005049F9"/>
    <w:rsid w:val="005079F6"/>
    <w:rsid w:val="00511532"/>
    <w:rsid w:val="005138D9"/>
    <w:rsid w:val="00513EBA"/>
    <w:rsid w:val="005145B3"/>
    <w:rsid w:val="00514812"/>
    <w:rsid w:val="00517AA1"/>
    <w:rsid w:val="00522485"/>
    <w:rsid w:val="005259C8"/>
    <w:rsid w:val="005263C5"/>
    <w:rsid w:val="00526A3D"/>
    <w:rsid w:val="00527802"/>
    <w:rsid w:val="00527DEB"/>
    <w:rsid w:val="00530763"/>
    <w:rsid w:val="00532260"/>
    <w:rsid w:val="005338C6"/>
    <w:rsid w:val="005353CA"/>
    <w:rsid w:val="005371B8"/>
    <w:rsid w:val="00537D44"/>
    <w:rsid w:val="00541457"/>
    <w:rsid w:val="00541F01"/>
    <w:rsid w:val="005430AC"/>
    <w:rsid w:val="005462CC"/>
    <w:rsid w:val="005464BF"/>
    <w:rsid w:val="00550958"/>
    <w:rsid w:val="00550DB9"/>
    <w:rsid w:val="005537E5"/>
    <w:rsid w:val="00553BFE"/>
    <w:rsid w:val="005608BA"/>
    <w:rsid w:val="00561A58"/>
    <w:rsid w:val="005650EE"/>
    <w:rsid w:val="00566CFA"/>
    <w:rsid w:val="00567BBF"/>
    <w:rsid w:val="00567BD9"/>
    <w:rsid w:val="00571311"/>
    <w:rsid w:val="005715D5"/>
    <w:rsid w:val="00571AF0"/>
    <w:rsid w:val="005746E6"/>
    <w:rsid w:val="0057714E"/>
    <w:rsid w:val="00577844"/>
    <w:rsid w:val="005778CC"/>
    <w:rsid w:val="00580B69"/>
    <w:rsid w:val="00586880"/>
    <w:rsid w:val="00591B6F"/>
    <w:rsid w:val="00595042"/>
    <w:rsid w:val="0059526F"/>
    <w:rsid w:val="0059707C"/>
    <w:rsid w:val="005A37A5"/>
    <w:rsid w:val="005A3805"/>
    <w:rsid w:val="005A4028"/>
    <w:rsid w:val="005A6809"/>
    <w:rsid w:val="005A7EDF"/>
    <w:rsid w:val="005B2620"/>
    <w:rsid w:val="005B6C8C"/>
    <w:rsid w:val="005B7FE0"/>
    <w:rsid w:val="005C2BD4"/>
    <w:rsid w:val="005C4E0D"/>
    <w:rsid w:val="005C5507"/>
    <w:rsid w:val="005C636E"/>
    <w:rsid w:val="005C7192"/>
    <w:rsid w:val="005C76FE"/>
    <w:rsid w:val="005D1848"/>
    <w:rsid w:val="005D38C9"/>
    <w:rsid w:val="005D5BC7"/>
    <w:rsid w:val="005D6EBF"/>
    <w:rsid w:val="005D773A"/>
    <w:rsid w:val="005D77B9"/>
    <w:rsid w:val="005D7D3B"/>
    <w:rsid w:val="005E0237"/>
    <w:rsid w:val="005E18E9"/>
    <w:rsid w:val="005E6AD1"/>
    <w:rsid w:val="005F1F9D"/>
    <w:rsid w:val="005F2B24"/>
    <w:rsid w:val="005F6371"/>
    <w:rsid w:val="005F638E"/>
    <w:rsid w:val="005F6830"/>
    <w:rsid w:val="006001D0"/>
    <w:rsid w:val="0060705B"/>
    <w:rsid w:val="006100B7"/>
    <w:rsid w:val="0061045E"/>
    <w:rsid w:val="00611D9B"/>
    <w:rsid w:val="006120B8"/>
    <w:rsid w:val="00614BA6"/>
    <w:rsid w:val="00621127"/>
    <w:rsid w:val="006220D7"/>
    <w:rsid w:val="006264EC"/>
    <w:rsid w:val="00631795"/>
    <w:rsid w:val="00632EEB"/>
    <w:rsid w:val="00637B9C"/>
    <w:rsid w:val="006418B2"/>
    <w:rsid w:val="00641EA5"/>
    <w:rsid w:val="006476B5"/>
    <w:rsid w:val="00651E7C"/>
    <w:rsid w:val="0065321D"/>
    <w:rsid w:val="00653278"/>
    <w:rsid w:val="00653705"/>
    <w:rsid w:val="00654B16"/>
    <w:rsid w:val="00655875"/>
    <w:rsid w:val="00655AFC"/>
    <w:rsid w:val="0065681F"/>
    <w:rsid w:val="00657FD2"/>
    <w:rsid w:val="0066009C"/>
    <w:rsid w:val="00660ADD"/>
    <w:rsid w:val="00663523"/>
    <w:rsid w:val="00664763"/>
    <w:rsid w:val="006648AB"/>
    <w:rsid w:val="00667BE4"/>
    <w:rsid w:val="00670CEE"/>
    <w:rsid w:val="00672A9F"/>
    <w:rsid w:val="00675998"/>
    <w:rsid w:val="00677FE0"/>
    <w:rsid w:val="00680EDD"/>
    <w:rsid w:val="0068229E"/>
    <w:rsid w:val="00682563"/>
    <w:rsid w:val="006866C5"/>
    <w:rsid w:val="00686EBE"/>
    <w:rsid w:val="00690F17"/>
    <w:rsid w:val="0069716E"/>
    <w:rsid w:val="00697916"/>
    <w:rsid w:val="006979F4"/>
    <w:rsid w:val="006A1A74"/>
    <w:rsid w:val="006A647D"/>
    <w:rsid w:val="006A71E3"/>
    <w:rsid w:val="006A7E98"/>
    <w:rsid w:val="006B2402"/>
    <w:rsid w:val="006B2670"/>
    <w:rsid w:val="006B2EE9"/>
    <w:rsid w:val="006B64B8"/>
    <w:rsid w:val="006C03C8"/>
    <w:rsid w:val="006C0D25"/>
    <w:rsid w:val="006C2D83"/>
    <w:rsid w:val="006C48FC"/>
    <w:rsid w:val="006C6293"/>
    <w:rsid w:val="006D3F0D"/>
    <w:rsid w:val="006D561A"/>
    <w:rsid w:val="006D7526"/>
    <w:rsid w:val="006D7BD2"/>
    <w:rsid w:val="006E0D2E"/>
    <w:rsid w:val="006E2552"/>
    <w:rsid w:val="006E6A4A"/>
    <w:rsid w:val="006F0F8C"/>
    <w:rsid w:val="006F28D8"/>
    <w:rsid w:val="006F3960"/>
    <w:rsid w:val="006F3A76"/>
    <w:rsid w:val="006F513A"/>
    <w:rsid w:val="00700196"/>
    <w:rsid w:val="007002DD"/>
    <w:rsid w:val="00704513"/>
    <w:rsid w:val="00705A5F"/>
    <w:rsid w:val="00705C0E"/>
    <w:rsid w:val="007065E7"/>
    <w:rsid w:val="00715AB2"/>
    <w:rsid w:val="00716661"/>
    <w:rsid w:val="00717133"/>
    <w:rsid w:val="007179F2"/>
    <w:rsid w:val="00725CB0"/>
    <w:rsid w:val="00732673"/>
    <w:rsid w:val="00733360"/>
    <w:rsid w:val="00734E01"/>
    <w:rsid w:val="00735B53"/>
    <w:rsid w:val="00736708"/>
    <w:rsid w:val="00736C6C"/>
    <w:rsid w:val="00737CE5"/>
    <w:rsid w:val="00740773"/>
    <w:rsid w:val="007456D1"/>
    <w:rsid w:val="00746090"/>
    <w:rsid w:val="00747482"/>
    <w:rsid w:val="00756CD9"/>
    <w:rsid w:val="00761C27"/>
    <w:rsid w:val="00762E0A"/>
    <w:rsid w:val="00763872"/>
    <w:rsid w:val="007638FC"/>
    <w:rsid w:val="00763946"/>
    <w:rsid w:val="00763A43"/>
    <w:rsid w:val="00763FAB"/>
    <w:rsid w:val="00764EAD"/>
    <w:rsid w:val="007669FC"/>
    <w:rsid w:val="00766FCF"/>
    <w:rsid w:val="007674CC"/>
    <w:rsid w:val="00767CA2"/>
    <w:rsid w:val="0077284B"/>
    <w:rsid w:val="00777384"/>
    <w:rsid w:val="00785144"/>
    <w:rsid w:val="007864A7"/>
    <w:rsid w:val="007871AC"/>
    <w:rsid w:val="00787523"/>
    <w:rsid w:val="00790C99"/>
    <w:rsid w:val="007953DF"/>
    <w:rsid w:val="007A06BA"/>
    <w:rsid w:val="007A2D96"/>
    <w:rsid w:val="007A3D38"/>
    <w:rsid w:val="007A4B17"/>
    <w:rsid w:val="007A782B"/>
    <w:rsid w:val="007B3087"/>
    <w:rsid w:val="007B40F4"/>
    <w:rsid w:val="007B4AFB"/>
    <w:rsid w:val="007B7F32"/>
    <w:rsid w:val="007C0339"/>
    <w:rsid w:val="007C1A7A"/>
    <w:rsid w:val="007C4EFD"/>
    <w:rsid w:val="007D04C3"/>
    <w:rsid w:val="007D063F"/>
    <w:rsid w:val="007D1DF5"/>
    <w:rsid w:val="007D4F49"/>
    <w:rsid w:val="007D509C"/>
    <w:rsid w:val="007D6422"/>
    <w:rsid w:val="007D70EA"/>
    <w:rsid w:val="007E05AB"/>
    <w:rsid w:val="007E0AB6"/>
    <w:rsid w:val="007E443D"/>
    <w:rsid w:val="007E523C"/>
    <w:rsid w:val="007F2871"/>
    <w:rsid w:val="007F3C4C"/>
    <w:rsid w:val="007F509E"/>
    <w:rsid w:val="008009B5"/>
    <w:rsid w:val="00802B46"/>
    <w:rsid w:val="00803944"/>
    <w:rsid w:val="00804864"/>
    <w:rsid w:val="008052B5"/>
    <w:rsid w:val="008065C4"/>
    <w:rsid w:val="00813118"/>
    <w:rsid w:val="0081390B"/>
    <w:rsid w:val="00814623"/>
    <w:rsid w:val="00814E81"/>
    <w:rsid w:val="0081703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F13"/>
    <w:rsid w:val="00862770"/>
    <w:rsid w:val="0086369E"/>
    <w:rsid w:val="00863B19"/>
    <w:rsid w:val="00864D44"/>
    <w:rsid w:val="0086708B"/>
    <w:rsid w:val="00870412"/>
    <w:rsid w:val="00870695"/>
    <w:rsid w:val="008707BC"/>
    <w:rsid w:val="0087184F"/>
    <w:rsid w:val="00871E07"/>
    <w:rsid w:val="00871E54"/>
    <w:rsid w:val="00876B2F"/>
    <w:rsid w:val="008823BA"/>
    <w:rsid w:val="008839C3"/>
    <w:rsid w:val="00883D6F"/>
    <w:rsid w:val="008862AC"/>
    <w:rsid w:val="00886302"/>
    <w:rsid w:val="00887FE6"/>
    <w:rsid w:val="00890A34"/>
    <w:rsid w:val="00891991"/>
    <w:rsid w:val="00891E50"/>
    <w:rsid w:val="00892A41"/>
    <w:rsid w:val="0089451E"/>
    <w:rsid w:val="008954B2"/>
    <w:rsid w:val="00896FC1"/>
    <w:rsid w:val="0089777D"/>
    <w:rsid w:val="008A0250"/>
    <w:rsid w:val="008A08E9"/>
    <w:rsid w:val="008A0E53"/>
    <w:rsid w:val="008B34A2"/>
    <w:rsid w:val="008B48AF"/>
    <w:rsid w:val="008B6821"/>
    <w:rsid w:val="008B6A6E"/>
    <w:rsid w:val="008C0C02"/>
    <w:rsid w:val="008C1D94"/>
    <w:rsid w:val="008C5D59"/>
    <w:rsid w:val="008C5F5F"/>
    <w:rsid w:val="008C68E4"/>
    <w:rsid w:val="008C7898"/>
    <w:rsid w:val="008D3638"/>
    <w:rsid w:val="008D65F1"/>
    <w:rsid w:val="008D6A2E"/>
    <w:rsid w:val="008E00AA"/>
    <w:rsid w:val="008E12B0"/>
    <w:rsid w:val="008E27BC"/>
    <w:rsid w:val="008E5126"/>
    <w:rsid w:val="008E5631"/>
    <w:rsid w:val="008E6FFD"/>
    <w:rsid w:val="008F2323"/>
    <w:rsid w:val="008F34C7"/>
    <w:rsid w:val="008F5935"/>
    <w:rsid w:val="008F5DD7"/>
    <w:rsid w:val="008F7582"/>
    <w:rsid w:val="00900D37"/>
    <w:rsid w:val="00905330"/>
    <w:rsid w:val="009120C7"/>
    <w:rsid w:val="00912F53"/>
    <w:rsid w:val="0091354C"/>
    <w:rsid w:val="00914404"/>
    <w:rsid w:val="00915695"/>
    <w:rsid w:val="00917EB4"/>
    <w:rsid w:val="00921594"/>
    <w:rsid w:val="00921BD9"/>
    <w:rsid w:val="0092271E"/>
    <w:rsid w:val="00922843"/>
    <w:rsid w:val="009229D2"/>
    <w:rsid w:val="00924F7B"/>
    <w:rsid w:val="00931604"/>
    <w:rsid w:val="009335C7"/>
    <w:rsid w:val="009336FC"/>
    <w:rsid w:val="00937DAA"/>
    <w:rsid w:val="00942F47"/>
    <w:rsid w:val="00944B53"/>
    <w:rsid w:val="00947E8A"/>
    <w:rsid w:val="009523E0"/>
    <w:rsid w:val="009532A5"/>
    <w:rsid w:val="00955DCC"/>
    <w:rsid w:val="009561DE"/>
    <w:rsid w:val="00957029"/>
    <w:rsid w:val="009571F6"/>
    <w:rsid w:val="0096005F"/>
    <w:rsid w:val="0096107D"/>
    <w:rsid w:val="009638C2"/>
    <w:rsid w:val="00964BF9"/>
    <w:rsid w:val="00966BA2"/>
    <w:rsid w:val="00966BA9"/>
    <w:rsid w:val="00967A8C"/>
    <w:rsid w:val="00970D63"/>
    <w:rsid w:val="009733B5"/>
    <w:rsid w:val="00974091"/>
    <w:rsid w:val="0097503F"/>
    <w:rsid w:val="009816FB"/>
    <w:rsid w:val="00982F32"/>
    <w:rsid w:val="00986A17"/>
    <w:rsid w:val="00987A72"/>
    <w:rsid w:val="00987DC0"/>
    <w:rsid w:val="00990177"/>
    <w:rsid w:val="00990197"/>
    <w:rsid w:val="00995148"/>
    <w:rsid w:val="00995A4F"/>
    <w:rsid w:val="00995EB0"/>
    <w:rsid w:val="00996AA8"/>
    <w:rsid w:val="00997AD1"/>
    <w:rsid w:val="009A24EF"/>
    <w:rsid w:val="009A5B34"/>
    <w:rsid w:val="009A6F35"/>
    <w:rsid w:val="009A7496"/>
    <w:rsid w:val="009B2FDE"/>
    <w:rsid w:val="009B66F6"/>
    <w:rsid w:val="009B6B0B"/>
    <w:rsid w:val="009C23BF"/>
    <w:rsid w:val="009C52DE"/>
    <w:rsid w:val="009C5388"/>
    <w:rsid w:val="009C6342"/>
    <w:rsid w:val="009C6E29"/>
    <w:rsid w:val="009C7987"/>
    <w:rsid w:val="009D0346"/>
    <w:rsid w:val="009D0EE8"/>
    <w:rsid w:val="009D18E9"/>
    <w:rsid w:val="009D204E"/>
    <w:rsid w:val="009D3DC3"/>
    <w:rsid w:val="009D7FDA"/>
    <w:rsid w:val="009E0E54"/>
    <w:rsid w:val="009E1313"/>
    <w:rsid w:val="009E1656"/>
    <w:rsid w:val="009E1E37"/>
    <w:rsid w:val="009E3036"/>
    <w:rsid w:val="009E690A"/>
    <w:rsid w:val="009E7E21"/>
    <w:rsid w:val="009F0CCE"/>
    <w:rsid w:val="009F17F3"/>
    <w:rsid w:val="009F1F95"/>
    <w:rsid w:val="009F20C5"/>
    <w:rsid w:val="009F20F0"/>
    <w:rsid w:val="009F4404"/>
    <w:rsid w:val="009F4481"/>
    <w:rsid w:val="009F6812"/>
    <w:rsid w:val="009F6F89"/>
    <w:rsid w:val="009F7322"/>
    <w:rsid w:val="009F7CC0"/>
    <w:rsid w:val="00A0124F"/>
    <w:rsid w:val="00A02BD8"/>
    <w:rsid w:val="00A034A0"/>
    <w:rsid w:val="00A04ADE"/>
    <w:rsid w:val="00A05E9D"/>
    <w:rsid w:val="00A10196"/>
    <w:rsid w:val="00A11C88"/>
    <w:rsid w:val="00A1285C"/>
    <w:rsid w:val="00A12CDD"/>
    <w:rsid w:val="00A15315"/>
    <w:rsid w:val="00A168E3"/>
    <w:rsid w:val="00A16ACA"/>
    <w:rsid w:val="00A21D01"/>
    <w:rsid w:val="00A22607"/>
    <w:rsid w:val="00A22DC8"/>
    <w:rsid w:val="00A23F35"/>
    <w:rsid w:val="00A259DD"/>
    <w:rsid w:val="00A2696D"/>
    <w:rsid w:val="00A30AC5"/>
    <w:rsid w:val="00A31317"/>
    <w:rsid w:val="00A3378A"/>
    <w:rsid w:val="00A346A5"/>
    <w:rsid w:val="00A379B9"/>
    <w:rsid w:val="00A43FBA"/>
    <w:rsid w:val="00A43FFF"/>
    <w:rsid w:val="00A47365"/>
    <w:rsid w:val="00A50C95"/>
    <w:rsid w:val="00A51500"/>
    <w:rsid w:val="00A51FEB"/>
    <w:rsid w:val="00A53FEA"/>
    <w:rsid w:val="00A5432B"/>
    <w:rsid w:val="00A602A3"/>
    <w:rsid w:val="00A61B99"/>
    <w:rsid w:val="00A63D50"/>
    <w:rsid w:val="00A651A5"/>
    <w:rsid w:val="00A65273"/>
    <w:rsid w:val="00A669EF"/>
    <w:rsid w:val="00A7026F"/>
    <w:rsid w:val="00A70E02"/>
    <w:rsid w:val="00A73E62"/>
    <w:rsid w:val="00A749D0"/>
    <w:rsid w:val="00A756DD"/>
    <w:rsid w:val="00A77F12"/>
    <w:rsid w:val="00A8038E"/>
    <w:rsid w:val="00A80511"/>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C4564"/>
    <w:rsid w:val="00AD16FC"/>
    <w:rsid w:val="00AD1EB9"/>
    <w:rsid w:val="00AD21E2"/>
    <w:rsid w:val="00AD2662"/>
    <w:rsid w:val="00AD2C7B"/>
    <w:rsid w:val="00AD3BF0"/>
    <w:rsid w:val="00AD43AF"/>
    <w:rsid w:val="00AD4C9B"/>
    <w:rsid w:val="00AD5C82"/>
    <w:rsid w:val="00AE0ADC"/>
    <w:rsid w:val="00AE186F"/>
    <w:rsid w:val="00AE3308"/>
    <w:rsid w:val="00AE4B42"/>
    <w:rsid w:val="00AE552C"/>
    <w:rsid w:val="00AF330E"/>
    <w:rsid w:val="00AF4517"/>
    <w:rsid w:val="00AF613D"/>
    <w:rsid w:val="00B1173D"/>
    <w:rsid w:val="00B12495"/>
    <w:rsid w:val="00B13C35"/>
    <w:rsid w:val="00B22B39"/>
    <w:rsid w:val="00B2349C"/>
    <w:rsid w:val="00B32D05"/>
    <w:rsid w:val="00B3457B"/>
    <w:rsid w:val="00B34D7A"/>
    <w:rsid w:val="00B35C9B"/>
    <w:rsid w:val="00B37CA4"/>
    <w:rsid w:val="00B42DBC"/>
    <w:rsid w:val="00B432BB"/>
    <w:rsid w:val="00B44B19"/>
    <w:rsid w:val="00B45809"/>
    <w:rsid w:val="00B509C5"/>
    <w:rsid w:val="00B50BA7"/>
    <w:rsid w:val="00B518A6"/>
    <w:rsid w:val="00B525A8"/>
    <w:rsid w:val="00B525D0"/>
    <w:rsid w:val="00B540ED"/>
    <w:rsid w:val="00B555ED"/>
    <w:rsid w:val="00B61879"/>
    <w:rsid w:val="00B64E48"/>
    <w:rsid w:val="00B70EB0"/>
    <w:rsid w:val="00B766FF"/>
    <w:rsid w:val="00B76C3E"/>
    <w:rsid w:val="00B806EB"/>
    <w:rsid w:val="00B8089B"/>
    <w:rsid w:val="00B82756"/>
    <w:rsid w:val="00B836CA"/>
    <w:rsid w:val="00B85FD7"/>
    <w:rsid w:val="00B904FF"/>
    <w:rsid w:val="00B9210D"/>
    <w:rsid w:val="00B94616"/>
    <w:rsid w:val="00B95044"/>
    <w:rsid w:val="00B95850"/>
    <w:rsid w:val="00B95DCF"/>
    <w:rsid w:val="00B97AB5"/>
    <w:rsid w:val="00B97C6C"/>
    <w:rsid w:val="00BA041B"/>
    <w:rsid w:val="00BA2F5F"/>
    <w:rsid w:val="00BA40EB"/>
    <w:rsid w:val="00BA4EBD"/>
    <w:rsid w:val="00BA6033"/>
    <w:rsid w:val="00BA6DB4"/>
    <w:rsid w:val="00BB6223"/>
    <w:rsid w:val="00BB64BE"/>
    <w:rsid w:val="00BB6822"/>
    <w:rsid w:val="00BC0E38"/>
    <w:rsid w:val="00BC385E"/>
    <w:rsid w:val="00BC423A"/>
    <w:rsid w:val="00BC65EF"/>
    <w:rsid w:val="00BC70AC"/>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C018C7"/>
    <w:rsid w:val="00C031F8"/>
    <w:rsid w:val="00C1167E"/>
    <w:rsid w:val="00C1349C"/>
    <w:rsid w:val="00C1382C"/>
    <w:rsid w:val="00C16253"/>
    <w:rsid w:val="00C21DB7"/>
    <w:rsid w:val="00C22025"/>
    <w:rsid w:val="00C231D1"/>
    <w:rsid w:val="00C25E14"/>
    <w:rsid w:val="00C26FE7"/>
    <w:rsid w:val="00C27023"/>
    <w:rsid w:val="00C27C5C"/>
    <w:rsid w:val="00C313E4"/>
    <w:rsid w:val="00C31FC1"/>
    <w:rsid w:val="00C3415C"/>
    <w:rsid w:val="00C34927"/>
    <w:rsid w:val="00C378E2"/>
    <w:rsid w:val="00C401A1"/>
    <w:rsid w:val="00C40235"/>
    <w:rsid w:val="00C40927"/>
    <w:rsid w:val="00C4235A"/>
    <w:rsid w:val="00C44809"/>
    <w:rsid w:val="00C45D20"/>
    <w:rsid w:val="00C45ED5"/>
    <w:rsid w:val="00C4613B"/>
    <w:rsid w:val="00C476C4"/>
    <w:rsid w:val="00C518BB"/>
    <w:rsid w:val="00C51B50"/>
    <w:rsid w:val="00C53E1E"/>
    <w:rsid w:val="00C53EF6"/>
    <w:rsid w:val="00C54F8B"/>
    <w:rsid w:val="00C55EB9"/>
    <w:rsid w:val="00C621BD"/>
    <w:rsid w:val="00C623CE"/>
    <w:rsid w:val="00C62493"/>
    <w:rsid w:val="00C62C76"/>
    <w:rsid w:val="00C6306D"/>
    <w:rsid w:val="00C6384E"/>
    <w:rsid w:val="00C6598F"/>
    <w:rsid w:val="00C65E19"/>
    <w:rsid w:val="00C66D60"/>
    <w:rsid w:val="00C67AB5"/>
    <w:rsid w:val="00C71567"/>
    <w:rsid w:val="00C74AEF"/>
    <w:rsid w:val="00C74FB1"/>
    <w:rsid w:val="00C769B1"/>
    <w:rsid w:val="00C8362F"/>
    <w:rsid w:val="00C8406C"/>
    <w:rsid w:val="00C8590C"/>
    <w:rsid w:val="00C87351"/>
    <w:rsid w:val="00C90721"/>
    <w:rsid w:val="00C91931"/>
    <w:rsid w:val="00C922E7"/>
    <w:rsid w:val="00C92943"/>
    <w:rsid w:val="00C953AC"/>
    <w:rsid w:val="00C95533"/>
    <w:rsid w:val="00C970BB"/>
    <w:rsid w:val="00CA0296"/>
    <w:rsid w:val="00CA6D37"/>
    <w:rsid w:val="00CA7733"/>
    <w:rsid w:val="00CA7BCB"/>
    <w:rsid w:val="00CA7CFC"/>
    <w:rsid w:val="00CB0155"/>
    <w:rsid w:val="00CB178B"/>
    <w:rsid w:val="00CB1B47"/>
    <w:rsid w:val="00CB43C6"/>
    <w:rsid w:val="00CB6585"/>
    <w:rsid w:val="00CB7971"/>
    <w:rsid w:val="00CC3BC3"/>
    <w:rsid w:val="00CC5455"/>
    <w:rsid w:val="00CC6CDD"/>
    <w:rsid w:val="00CD22BB"/>
    <w:rsid w:val="00CD2BEE"/>
    <w:rsid w:val="00CD315B"/>
    <w:rsid w:val="00CD369F"/>
    <w:rsid w:val="00CD57F7"/>
    <w:rsid w:val="00CD761D"/>
    <w:rsid w:val="00CD77F0"/>
    <w:rsid w:val="00CD79C1"/>
    <w:rsid w:val="00CD7F8B"/>
    <w:rsid w:val="00CE143C"/>
    <w:rsid w:val="00CE72F3"/>
    <w:rsid w:val="00CE7F17"/>
    <w:rsid w:val="00CF1CDA"/>
    <w:rsid w:val="00CF38A0"/>
    <w:rsid w:val="00CF669B"/>
    <w:rsid w:val="00CF7D39"/>
    <w:rsid w:val="00D04735"/>
    <w:rsid w:val="00D061FC"/>
    <w:rsid w:val="00D06D1C"/>
    <w:rsid w:val="00D103A1"/>
    <w:rsid w:val="00D166DB"/>
    <w:rsid w:val="00D16DFB"/>
    <w:rsid w:val="00D17CE0"/>
    <w:rsid w:val="00D211EC"/>
    <w:rsid w:val="00D22293"/>
    <w:rsid w:val="00D261C7"/>
    <w:rsid w:val="00D31E77"/>
    <w:rsid w:val="00D32664"/>
    <w:rsid w:val="00D334F9"/>
    <w:rsid w:val="00D340F8"/>
    <w:rsid w:val="00D367DC"/>
    <w:rsid w:val="00D36E14"/>
    <w:rsid w:val="00D37267"/>
    <w:rsid w:val="00D372F5"/>
    <w:rsid w:val="00D376AF"/>
    <w:rsid w:val="00D40032"/>
    <w:rsid w:val="00D413D3"/>
    <w:rsid w:val="00D41588"/>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2547"/>
    <w:rsid w:val="00D74481"/>
    <w:rsid w:val="00D7448E"/>
    <w:rsid w:val="00D747B2"/>
    <w:rsid w:val="00D75696"/>
    <w:rsid w:val="00D75E63"/>
    <w:rsid w:val="00D7728C"/>
    <w:rsid w:val="00D809BE"/>
    <w:rsid w:val="00D81515"/>
    <w:rsid w:val="00D860B7"/>
    <w:rsid w:val="00D9026F"/>
    <w:rsid w:val="00D9118C"/>
    <w:rsid w:val="00D914FA"/>
    <w:rsid w:val="00D91D85"/>
    <w:rsid w:val="00D96A40"/>
    <w:rsid w:val="00D975F7"/>
    <w:rsid w:val="00DA0788"/>
    <w:rsid w:val="00DA1966"/>
    <w:rsid w:val="00DA4590"/>
    <w:rsid w:val="00DA623D"/>
    <w:rsid w:val="00DB4C53"/>
    <w:rsid w:val="00DB4F15"/>
    <w:rsid w:val="00DC0990"/>
    <w:rsid w:val="00DC15F5"/>
    <w:rsid w:val="00DC20D4"/>
    <w:rsid w:val="00DC3395"/>
    <w:rsid w:val="00DC3F7B"/>
    <w:rsid w:val="00DC4374"/>
    <w:rsid w:val="00DC4821"/>
    <w:rsid w:val="00DD3474"/>
    <w:rsid w:val="00DD44D1"/>
    <w:rsid w:val="00DD695B"/>
    <w:rsid w:val="00DE3941"/>
    <w:rsid w:val="00DE3D73"/>
    <w:rsid w:val="00DE7EEA"/>
    <w:rsid w:val="00DF033B"/>
    <w:rsid w:val="00DF57AC"/>
    <w:rsid w:val="00DF5E82"/>
    <w:rsid w:val="00DF7CF5"/>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37ABC"/>
    <w:rsid w:val="00E40FF6"/>
    <w:rsid w:val="00E41CB3"/>
    <w:rsid w:val="00E43CBB"/>
    <w:rsid w:val="00E44693"/>
    <w:rsid w:val="00E500A5"/>
    <w:rsid w:val="00E525D9"/>
    <w:rsid w:val="00E55A62"/>
    <w:rsid w:val="00E56B0F"/>
    <w:rsid w:val="00E60A82"/>
    <w:rsid w:val="00E61CA2"/>
    <w:rsid w:val="00E63B9B"/>
    <w:rsid w:val="00E64B7F"/>
    <w:rsid w:val="00E6514E"/>
    <w:rsid w:val="00E65C57"/>
    <w:rsid w:val="00E662FF"/>
    <w:rsid w:val="00E66516"/>
    <w:rsid w:val="00E66C4B"/>
    <w:rsid w:val="00E70F48"/>
    <w:rsid w:val="00E718CD"/>
    <w:rsid w:val="00E719C4"/>
    <w:rsid w:val="00E72E57"/>
    <w:rsid w:val="00E73417"/>
    <w:rsid w:val="00E76D25"/>
    <w:rsid w:val="00E81591"/>
    <w:rsid w:val="00E81B6C"/>
    <w:rsid w:val="00E828BF"/>
    <w:rsid w:val="00E84BF6"/>
    <w:rsid w:val="00E911EA"/>
    <w:rsid w:val="00E913EE"/>
    <w:rsid w:val="00E932DD"/>
    <w:rsid w:val="00E96831"/>
    <w:rsid w:val="00EA4733"/>
    <w:rsid w:val="00EA5E1C"/>
    <w:rsid w:val="00EB0375"/>
    <w:rsid w:val="00EB1D08"/>
    <w:rsid w:val="00EB1E9F"/>
    <w:rsid w:val="00EB31FC"/>
    <w:rsid w:val="00EB4EC6"/>
    <w:rsid w:val="00EC0AF4"/>
    <w:rsid w:val="00EC21CC"/>
    <w:rsid w:val="00EC3622"/>
    <w:rsid w:val="00EC4006"/>
    <w:rsid w:val="00EC42C6"/>
    <w:rsid w:val="00EC685B"/>
    <w:rsid w:val="00ED3F52"/>
    <w:rsid w:val="00ED4E9B"/>
    <w:rsid w:val="00ED6FEF"/>
    <w:rsid w:val="00ED7711"/>
    <w:rsid w:val="00EE082A"/>
    <w:rsid w:val="00EE0A32"/>
    <w:rsid w:val="00EE1F2F"/>
    <w:rsid w:val="00EE57B7"/>
    <w:rsid w:val="00EE5A6D"/>
    <w:rsid w:val="00EF49FC"/>
    <w:rsid w:val="00EF70C1"/>
    <w:rsid w:val="00F0702B"/>
    <w:rsid w:val="00F073B4"/>
    <w:rsid w:val="00F1274A"/>
    <w:rsid w:val="00F12FFE"/>
    <w:rsid w:val="00F14BD2"/>
    <w:rsid w:val="00F15900"/>
    <w:rsid w:val="00F161C8"/>
    <w:rsid w:val="00F21CC5"/>
    <w:rsid w:val="00F22F22"/>
    <w:rsid w:val="00F25FE0"/>
    <w:rsid w:val="00F27029"/>
    <w:rsid w:val="00F31BDD"/>
    <w:rsid w:val="00F35A67"/>
    <w:rsid w:val="00F36C49"/>
    <w:rsid w:val="00F4116E"/>
    <w:rsid w:val="00F43758"/>
    <w:rsid w:val="00F4472E"/>
    <w:rsid w:val="00F50B29"/>
    <w:rsid w:val="00F5107E"/>
    <w:rsid w:val="00F53855"/>
    <w:rsid w:val="00F53C9A"/>
    <w:rsid w:val="00F63250"/>
    <w:rsid w:val="00F6480D"/>
    <w:rsid w:val="00F65F58"/>
    <w:rsid w:val="00F70963"/>
    <w:rsid w:val="00F71387"/>
    <w:rsid w:val="00F71723"/>
    <w:rsid w:val="00F71FEA"/>
    <w:rsid w:val="00F73566"/>
    <w:rsid w:val="00F735B1"/>
    <w:rsid w:val="00F753EF"/>
    <w:rsid w:val="00F75C0A"/>
    <w:rsid w:val="00F7669C"/>
    <w:rsid w:val="00F7707F"/>
    <w:rsid w:val="00F77EE8"/>
    <w:rsid w:val="00F77FDE"/>
    <w:rsid w:val="00F81754"/>
    <w:rsid w:val="00F84544"/>
    <w:rsid w:val="00F85D90"/>
    <w:rsid w:val="00F86F4E"/>
    <w:rsid w:val="00F87297"/>
    <w:rsid w:val="00F9046D"/>
    <w:rsid w:val="00F90516"/>
    <w:rsid w:val="00F90556"/>
    <w:rsid w:val="00F90897"/>
    <w:rsid w:val="00F93D9A"/>
    <w:rsid w:val="00F969CD"/>
    <w:rsid w:val="00F974D9"/>
    <w:rsid w:val="00F97DDA"/>
    <w:rsid w:val="00FA046B"/>
    <w:rsid w:val="00FA25F5"/>
    <w:rsid w:val="00FA5315"/>
    <w:rsid w:val="00FA56BE"/>
    <w:rsid w:val="00FC01F7"/>
    <w:rsid w:val="00FC352C"/>
    <w:rsid w:val="00FC78B5"/>
    <w:rsid w:val="00FD18B0"/>
    <w:rsid w:val="00FD5019"/>
    <w:rsid w:val="00FD75FB"/>
    <w:rsid w:val="00FE1A7E"/>
    <w:rsid w:val="00FE4827"/>
    <w:rsid w:val="00FE48BA"/>
    <w:rsid w:val="00FE6484"/>
    <w:rsid w:val="00FF098B"/>
    <w:rsid w:val="00FF10BA"/>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57AAB-9898-4DE2-BDAA-17A292961A92}">
  <ds:schemaRefs>
    <ds:schemaRef ds:uri="http://purl.org/dc/terms/"/>
    <ds:schemaRef ds:uri="http://schemas.openxmlformats.org/package/2006/metadata/core-properties"/>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4.xml><?xml version="1.0" encoding="utf-8"?>
<ds:datastoreItem xmlns:ds="http://schemas.openxmlformats.org/officeDocument/2006/customXml" ds:itemID="{DA7AC6FA-D7C8-46AB-ADCC-0DB78545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2725</Words>
  <Characters>13625</Characters>
  <Application>Microsoft Office Word</Application>
  <DocSecurity>4</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דוד בן מיכאל</dc:creator>
  <cp:lastModifiedBy>אילנית שרון</cp:lastModifiedBy>
  <cp:revision>2</cp:revision>
  <cp:lastPrinted>2018-07-08T13:15:00Z</cp:lastPrinted>
  <dcterms:created xsi:type="dcterms:W3CDTF">2024-11-05T08:48:00Z</dcterms:created>
  <dcterms:modified xsi:type="dcterms:W3CDTF">2024-11-05T08:48:00Z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