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236"/>
      </w:tblGrid>
      <w:tr w:rsidR="00823DBF" w14:paraId="269545FE" w14:textId="77777777" w:rsidTr="00823DBF">
        <w:tc>
          <w:tcPr>
            <w:tcW w:w="4531" w:type="dxa"/>
          </w:tcPr>
          <w:p w14:paraId="529F0D61" w14:textId="0F528E06" w:rsidR="00823DBF" w:rsidRDefault="00533055" w:rsidP="00A60E0E">
            <w:pPr>
              <w:pStyle w:val="regpar"/>
              <w:spacing w:line="300" w:lineRule="atLeast"/>
              <w:ind w:firstLine="0"/>
              <w:jc w:val="center"/>
              <w:rPr>
                <w:rFonts w:ascii="Times New Roman" w:hAnsi="Times New Roman" w:cs="David"/>
                <w:bCs/>
              </w:rPr>
            </w:pPr>
            <w:bookmarkStart w:id="0" w:name="_GoBack"/>
            <w:bookmarkEnd w:id="0"/>
            <w:r>
              <w:rPr>
                <w:noProof/>
              </w:rPr>
              <w:drawing>
                <wp:inline distT="0" distB="0" distL="0" distR="0" wp14:anchorId="6D1F392B" wp14:editId="61E12147">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1F5B1381" w14:textId="77777777" w:rsidR="00533055" w:rsidRDefault="00533055" w:rsidP="00823DBF">
            <w:pPr>
              <w:pStyle w:val="regpar"/>
              <w:spacing w:line="300" w:lineRule="atLeast"/>
              <w:ind w:firstLine="0"/>
              <w:jc w:val="center"/>
              <w:rPr>
                <w:rFonts w:ascii="Times New Roman" w:hAnsi="Times New Roman" w:cs="David"/>
                <w:bCs/>
              </w:rPr>
            </w:pPr>
          </w:p>
          <w:p w14:paraId="3AD1306C" w14:textId="14C687F9" w:rsidR="00823DBF" w:rsidRPr="00000A06" w:rsidRDefault="00823DBF" w:rsidP="00823DBF">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42AF36AA" w14:textId="6540ABFC" w:rsidR="00823DBF" w:rsidRPr="00823DBF" w:rsidRDefault="00823DBF" w:rsidP="00823DBF">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tc>
        <w:tc>
          <w:tcPr>
            <w:tcW w:w="4531" w:type="dxa"/>
          </w:tcPr>
          <w:p w14:paraId="407945ED" w14:textId="77777777" w:rsidR="00823DBF" w:rsidRDefault="00823DBF" w:rsidP="00A60E0E">
            <w:pPr>
              <w:pStyle w:val="regpar"/>
              <w:spacing w:line="300" w:lineRule="atLeast"/>
              <w:ind w:firstLine="0"/>
              <w:jc w:val="center"/>
              <w:rPr>
                <w:noProof/>
                <w:szCs w:val="96"/>
              </w:rPr>
            </w:pPr>
            <w:r>
              <w:rPr>
                <w:noProof/>
                <w:szCs w:val="96"/>
              </w:rPr>
              <w:object w:dxaOrig="526" w:dyaOrig="660" w14:anchorId="795D9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5pt;height:98.9pt" o:ole="" fillcolor="window">
                  <v:imagedata r:id="rId12" o:title=""/>
                </v:shape>
                <o:OLEObject Type="Embed" ProgID="Word.Picture.8" ShapeID="_x0000_i1025" DrawAspect="Content" ObjectID="_1816337720" r:id="rId13"/>
              </w:object>
            </w:r>
          </w:p>
          <w:p w14:paraId="5D3D6927" w14:textId="77777777" w:rsidR="00823DBF" w:rsidRDefault="00823DBF" w:rsidP="00A60E0E">
            <w:pPr>
              <w:pStyle w:val="regpar"/>
              <w:spacing w:line="300" w:lineRule="atLeast"/>
              <w:ind w:firstLine="0"/>
              <w:jc w:val="center"/>
              <w:rPr>
                <w:noProof/>
                <w:szCs w:val="96"/>
              </w:rPr>
            </w:pPr>
            <w:r>
              <w:rPr>
                <w:noProof/>
                <w:szCs w:val="96"/>
              </w:rPr>
              <w:t>MINISTRY OF FINANCE</w:t>
            </w:r>
          </w:p>
          <w:p w14:paraId="56D0E2AF" w14:textId="041C212E" w:rsidR="00823DBF" w:rsidRDefault="00823DBF" w:rsidP="00A60E0E">
            <w:pPr>
              <w:pStyle w:val="regpar"/>
              <w:spacing w:line="300" w:lineRule="atLeast"/>
              <w:ind w:firstLine="0"/>
              <w:jc w:val="center"/>
              <w:rPr>
                <w:rFonts w:ascii="Times New Roman" w:hAnsi="Times New Roman" w:cs="David"/>
                <w:bCs/>
              </w:rPr>
            </w:pPr>
            <w:r>
              <w:rPr>
                <w:noProof/>
                <w:szCs w:val="96"/>
              </w:rPr>
              <w:t>Office of the Spokesperson</w:t>
            </w:r>
          </w:p>
        </w:tc>
      </w:tr>
    </w:tbl>
    <w:p w14:paraId="7B1140B3" w14:textId="2DE2A874" w:rsidR="00650B9A" w:rsidRDefault="00650B9A" w:rsidP="00A60E0E">
      <w:pPr>
        <w:pStyle w:val="regpar"/>
        <w:spacing w:line="300" w:lineRule="atLeast"/>
        <w:ind w:firstLine="0"/>
        <w:jc w:val="center"/>
        <w:rPr>
          <w:rFonts w:ascii="Times New Roman" w:hAnsi="Times New Roman" w:cs="David"/>
          <w:bCs/>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E60FA54" w:rsidR="007617BD" w:rsidRPr="00533055" w:rsidRDefault="00823DBF" w:rsidP="00533055">
      <w:pPr>
        <w:pStyle w:val="regpar"/>
        <w:jc w:val="right"/>
        <w:rPr>
          <w:rFonts w:ascii="Segoe UI" w:hAnsi="Segoe UI" w:cs="Segoe UI"/>
        </w:rPr>
      </w:pPr>
      <w:r w:rsidRPr="00533055">
        <w:rPr>
          <w:rFonts w:ascii="Segoe UI" w:hAnsi="Segoe UI" w:cs="Segoe UI"/>
        </w:rPr>
        <w:t xml:space="preserve">August </w:t>
      </w:r>
      <w:r w:rsidR="00533055" w:rsidRPr="00533055">
        <w:rPr>
          <w:rFonts w:ascii="Segoe UI" w:hAnsi="Segoe UI" w:cs="Segoe UI"/>
        </w:rPr>
        <w:t>6</w:t>
      </w:r>
      <w:r w:rsidR="00621D95" w:rsidRPr="00533055">
        <w:rPr>
          <w:rFonts w:ascii="Segoe UI" w:hAnsi="Segoe UI" w:cs="Segoe UI"/>
        </w:rPr>
        <w:t>, 202</w:t>
      </w:r>
      <w:r w:rsidR="00533055" w:rsidRPr="00533055">
        <w:rPr>
          <w:rFonts w:ascii="Segoe UI" w:hAnsi="Segoe UI" w:cs="Segoe UI"/>
        </w:rPr>
        <w:t>5</w:t>
      </w:r>
    </w:p>
    <w:p w14:paraId="22D7AE78" w14:textId="474D030A" w:rsidR="00F23C43" w:rsidRPr="00533055" w:rsidRDefault="00F23C43" w:rsidP="00F23C43">
      <w:pPr>
        <w:pStyle w:val="regpar"/>
        <w:rPr>
          <w:rFonts w:ascii="Segoe UI" w:hAnsi="Segoe UI" w:cs="Segoe UI"/>
        </w:rPr>
      </w:pPr>
    </w:p>
    <w:p w14:paraId="707A817A" w14:textId="77777777" w:rsidR="00F23C43" w:rsidRPr="00533055" w:rsidRDefault="00F23C43" w:rsidP="00F23C43">
      <w:pPr>
        <w:pStyle w:val="regpar"/>
        <w:rPr>
          <w:rFonts w:ascii="Segoe UI" w:hAnsi="Segoe UI" w:cs="Segoe UI"/>
        </w:rPr>
      </w:pPr>
    </w:p>
    <w:p w14:paraId="147A8572" w14:textId="77777777" w:rsidR="00650B9A" w:rsidRPr="00533055" w:rsidRDefault="00650B9A" w:rsidP="00A60E0E">
      <w:pPr>
        <w:tabs>
          <w:tab w:val="center" w:pos="4156"/>
          <w:tab w:val="right" w:pos="8312"/>
        </w:tabs>
        <w:jc w:val="center"/>
        <w:rPr>
          <w:rFonts w:ascii="Segoe UI" w:hAnsi="Segoe UI" w:cs="Segoe UI"/>
          <w:sz w:val="22"/>
          <w:szCs w:val="22"/>
        </w:rPr>
      </w:pPr>
      <w:r w:rsidRPr="00533055">
        <w:rPr>
          <w:rFonts w:ascii="Segoe UI" w:hAnsi="Segoe UI" w:cs="Segoe UI"/>
          <w:sz w:val="22"/>
          <w:szCs w:val="22"/>
        </w:rPr>
        <w:t>Press Release</w:t>
      </w:r>
    </w:p>
    <w:p w14:paraId="3B5E18C4" w14:textId="77777777" w:rsidR="00DD0AB5" w:rsidRPr="00533055" w:rsidRDefault="00DD0AB5" w:rsidP="00DD0AB5">
      <w:pPr>
        <w:pStyle w:val="regpar"/>
        <w:rPr>
          <w:rFonts w:ascii="Segoe UI" w:hAnsi="Segoe UI" w:cs="Segoe UI"/>
        </w:rPr>
      </w:pPr>
    </w:p>
    <w:p w14:paraId="3AD00088" w14:textId="360D95FE" w:rsidR="00A2557F" w:rsidRPr="00533055" w:rsidRDefault="00533055" w:rsidP="00823DBF">
      <w:pPr>
        <w:pStyle w:val="regpar"/>
        <w:ind w:firstLine="0"/>
        <w:jc w:val="center"/>
        <w:rPr>
          <w:rFonts w:ascii="Segoe UI" w:hAnsi="Segoe UI" w:cs="Segoe UI"/>
          <w:b/>
          <w:bCs/>
        </w:rPr>
      </w:pPr>
      <w:r w:rsidRPr="00533055">
        <w:rPr>
          <w:rFonts w:ascii="Segoe UI" w:hAnsi="Segoe UI" w:cs="Segoe UI"/>
          <w:b/>
          <w:bCs/>
        </w:rPr>
        <w:t>Strategic measure to strengthen competition in the banking market:</w:t>
      </w:r>
    </w:p>
    <w:p w14:paraId="423FF143" w14:textId="3C13E30C" w:rsidR="00533055" w:rsidRPr="00533055" w:rsidRDefault="00533055" w:rsidP="00823DBF">
      <w:pPr>
        <w:pStyle w:val="regpar"/>
        <w:ind w:firstLine="0"/>
        <w:jc w:val="center"/>
        <w:rPr>
          <w:rFonts w:ascii="Segoe UI" w:hAnsi="Segoe UI" w:cs="Segoe UI"/>
          <w:b/>
          <w:bCs/>
        </w:rPr>
      </w:pPr>
      <w:r w:rsidRPr="00533055">
        <w:rPr>
          <w:rFonts w:ascii="Segoe UI" w:hAnsi="Segoe UI" w:cs="Segoe UI"/>
          <w:b/>
          <w:bCs/>
        </w:rPr>
        <w:t>Opening the market to new participants</w:t>
      </w:r>
    </w:p>
    <w:p w14:paraId="61FA0B37" w14:textId="497EC83A" w:rsidR="00533055" w:rsidRPr="00533055" w:rsidRDefault="00533055" w:rsidP="00823DBF">
      <w:pPr>
        <w:pStyle w:val="regpar"/>
        <w:ind w:firstLine="0"/>
        <w:jc w:val="center"/>
        <w:rPr>
          <w:rFonts w:ascii="Segoe UI" w:hAnsi="Segoe UI" w:cs="Segoe UI"/>
          <w:b/>
          <w:bCs/>
        </w:rPr>
      </w:pPr>
      <w:r w:rsidRPr="00533055">
        <w:rPr>
          <w:rFonts w:ascii="Segoe UI" w:hAnsi="Segoe UI" w:cs="Segoe UI"/>
          <w:b/>
          <w:bCs/>
        </w:rPr>
        <w:t>Publication of recommendations of the interministerial team to advance banking competition</w:t>
      </w:r>
    </w:p>
    <w:p w14:paraId="4887EA7B" w14:textId="213B39F7" w:rsidR="00823DBF" w:rsidRPr="00533055" w:rsidRDefault="00823DBF" w:rsidP="00823DBF">
      <w:pPr>
        <w:pStyle w:val="regpar"/>
        <w:ind w:firstLine="0"/>
        <w:jc w:val="center"/>
        <w:rPr>
          <w:rFonts w:ascii="Segoe UI" w:hAnsi="Segoe UI" w:cs="Segoe UI"/>
        </w:rPr>
      </w:pPr>
    </w:p>
    <w:p w14:paraId="76320576" w14:textId="56F6134B" w:rsidR="00533055" w:rsidRPr="00533055" w:rsidRDefault="00533055" w:rsidP="007521DD">
      <w:pPr>
        <w:pStyle w:val="NormalWeb"/>
        <w:jc w:val="both"/>
        <w:rPr>
          <w:rFonts w:ascii="Segoe UI" w:hAnsi="Segoe UI" w:cs="Segoe UI"/>
          <w:sz w:val="22"/>
          <w:szCs w:val="22"/>
        </w:rPr>
      </w:pPr>
      <w:r>
        <w:rPr>
          <w:rFonts w:ascii="Segoe UI" w:hAnsi="Segoe UI" w:cs="Segoe UI"/>
          <w:sz w:val="22"/>
          <w:szCs w:val="22"/>
        </w:rPr>
        <w:t>The inter</w:t>
      </w:r>
      <w:r w:rsidRPr="00533055">
        <w:rPr>
          <w:rFonts w:ascii="Segoe UI" w:hAnsi="Segoe UI" w:cs="Segoe UI"/>
          <w:sz w:val="22"/>
          <w:szCs w:val="22"/>
        </w:rPr>
        <w:t xml:space="preserve">ministerial team appointed by Finance Minister Bezalel </w:t>
      </w:r>
      <w:proofErr w:type="spellStart"/>
      <w:r w:rsidRPr="00533055">
        <w:rPr>
          <w:rFonts w:ascii="Segoe UI" w:hAnsi="Segoe UI" w:cs="Segoe UI"/>
          <w:sz w:val="22"/>
          <w:szCs w:val="22"/>
        </w:rPr>
        <w:t>Smotrich</w:t>
      </w:r>
      <w:proofErr w:type="spellEnd"/>
      <w:r w:rsidRPr="00533055">
        <w:rPr>
          <w:rFonts w:ascii="Segoe UI" w:hAnsi="Segoe UI" w:cs="Segoe UI"/>
          <w:sz w:val="22"/>
          <w:szCs w:val="22"/>
        </w:rPr>
        <w:t xml:space="preserve"> and Bank of Israel Governor Prof</w:t>
      </w:r>
      <w:r>
        <w:rPr>
          <w:rFonts w:ascii="Segoe UI" w:hAnsi="Segoe UI" w:cs="Segoe UI"/>
          <w:sz w:val="22"/>
          <w:szCs w:val="22"/>
        </w:rPr>
        <w:t>.</w:t>
      </w:r>
      <w:r w:rsidRPr="00533055">
        <w:rPr>
          <w:rFonts w:ascii="Segoe UI" w:hAnsi="Segoe UI" w:cs="Segoe UI"/>
          <w:sz w:val="22"/>
          <w:szCs w:val="22"/>
        </w:rPr>
        <w:t xml:space="preserve"> Amir Yaron—</w:t>
      </w:r>
      <w:r>
        <w:rPr>
          <w:rFonts w:ascii="Segoe UI" w:hAnsi="Segoe UI" w:cs="Segoe UI"/>
          <w:sz w:val="22"/>
          <w:szCs w:val="22"/>
        </w:rPr>
        <w:t xml:space="preserve">and </w:t>
      </w:r>
      <w:r w:rsidRPr="00533055">
        <w:rPr>
          <w:rFonts w:ascii="Segoe UI" w:hAnsi="Segoe UI" w:cs="Segoe UI"/>
          <w:sz w:val="22"/>
          <w:szCs w:val="22"/>
        </w:rPr>
        <w:t>led by Supervisor of Banks Dan</w:t>
      </w:r>
      <w:r>
        <w:rPr>
          <w:rFonts w:ascii="Segoe UI" w:hAnsi="Segoe UI" w:cs="Segoe UI"/>
          <w:sz w:val="22"/>
          <w:szCs w:val="22"/>
        </w:rPr>
        <w:t>i</w:t>
      </w:r>
      <w:r w:rsidRPr="00533055">
        <w:rPr>
          <w:rFonts w:ascii="Segoe UI" w:hAnsi="Segoe UI" w:cs="Segoe UI"/>
          <w:sz w:val="22"/>
          <w:szCs w:val="22"/>
        </w:rPr>
        <w:t xml:space="preserve"> </w:t>
      </w:r>
      <w:proofErr w:type="spellStart"/>
      <w:r w:rsidRPr="00533055">
        <w:rPr>
          <w:rFonts w:ascii="Segoe UI" w:hAnsi="Segoe UI" w:cs="Segoe UI"/>
          <w:sz w:val="22"/>
          <w:szCs w:val="22"/>
        </w:rPr>
        <w:t>Hah</w:t>
      </w:r>
      <w:r>
        <w:rPr>
          <w:rFonts w:ascii="Segoe UI" w:hAnsi="Segoe UI" w:cs="Segoe UI"/>
          <w:sz w:val="22"/>
          <w:szCs w:val="22"/>
        </w:rPr>
        <w:t>i</w:t>
      </w:r>
      <w:r w:rsidRPr="00533055">
        <w:rPr>
          <w:rFonts w:ascii="Segoe UI" w:hAnsi="Segoe UI" w:cs="Segoe UI"/>
          <w:sz w:val="22"/>
          <w:szCs w:val="22"/>
        </w:rPr>
        <w:t>ashvili</w:t>
      </w:r>
      <w:proofErr w:type="spellEnd"/>
      <w:r w:rsidRPr="00533055">
        <w:rPr>
          <w:rFonts w:ascii="Segoe UI" w:hAnsi="Segoe UI" w:cs="Segoe UI"/>
          <w:sz w:val="22"/>
          <w:szCs w:val="22"/>
        </w:rPr>
        <w:t xml:space="preserve">, and </w:t>
      </w:r>
      <w:r>
        <w:rPr>
          <w:rFonts w:ascii="Segoe UI" w:hAnsi="Segoe UI" w:cs="Segoe UI"/>
          <w:sz w:val="22"/>
          <w:szCs w:val="22"/>
        </w:rPr>
        <w:t>Finance Ministry</w:t>
      </w:r>
      <w:r w:rsidRPr="00533055">
        <w:rPr>
          <w:rFonts w:ascii="Segoe UI" w:hAnsi="Segoe UI" w:cs="Segoe UI"/>
          <w:sz w:val="22"/>
          <w:szCs w:val="22"/>
        </w:rPr>
        <w:t xml:space="preserve"> Budget Director </w:t>
      </w:r>
      <w:proofErr w:type="spellStart"/>
      <w:r w:rsidRPr="00533055">
        <w:rPr>
          <w:rFonts w:ascii="Segoe UI" w:hAnsi="Segoe UI" w:cs="Segoe UI"/>
          <w:sz w:val="22"/>
          <w:szCs w:val="22"/>
        </w:rPr>
        <w:t>Yogev</w:t>
      </w:r>
      <w:proofErr w:type="spellEnd"/>
      <w:r w:rsidRPr="00533055">
        <w:rPr>
          <w:rFonts w:ascii="Segoe UI" w:hAnsi="Segoe UI" w:cs="Segoe UI"/>
          <w:sz w:val="22"/>
          <w:szCs w:val="22"/>
        </w:rPr>
        <w:t xml:space="preserve"> G</w:t>
      </w:r>
      <w:r>
        <w:rPr>
          <w:rFonts w:ascii="Segoe UI" w:hAnsi="Segoe UI" w:cs="Segoe UI"/>
          <w:sz w:val="22"/>
          <w:szCs w:val="22"/>
        </w:rPr>
        <w:t>r</w:t>
      </w:r>
      <w:r w:rsidRPr="00533055">
        <w:rPr>
          <w:rFonts w:ascii="Segoe UI" w:hAnsi="Segoe UI" w:cs="Segoe UI"/>
          <w:sz w:val="22"/>
          <w:szCs w:val="22"/>
        </w:rPr>
        <w:t>ad</w:t>
      </w:r>
      <w:r>
        <w:rPr>
          <w:rFonts w:ascii="Segoe UI" w:hAnsi="Segoe UI" w:cs="Segoe UI"/>
          <w:sz w:val="22"/>
          <w:szCs w:val="22"/>
        </w:rPr>
        <w:t>u</w:t>
      </w:r>
      <w:r w:rsidRPr="00533055">
        <w:rPr>
          <w:rFonts w:ascii="Segoe UI" w:hAnsi="Segoe UI" w:cs="Segoe UI"/>
          <w:sz w:val="22"/>
          <w:szCs w:val="22"/>
        </w:rPr>
        <w:t xml:space="preserve">s—has recommended a plan to enable the establishment of small banks with </w:t>
      </w:r>
      <w:r w:rsidR="007521DD">
        <w:rPr>
          <w:rFonts w:ascii="Segoe UI" w:hAnsi="Segoe UI" w:cs="Segoe UI"/>
          <w:sz w:val="22"/>
          <w:szCs w:val="22"/>
        </w:rPr>
        <w:t>more lenient</w:t>
      </w:r>
      <w:r w:rsidRPr="00533055">
        <w:rPr>
          <w:rFonts w:ascii="Segoe UI" w:hAnsi="Segoe UI" w:cs="Segoe UI"/>
          <w:sz w:val="22"/>
          <w:szCs w:val="22"/>
        </w:rPr>
        <w:t xml:space="preserve"> regulation. The goal is to increase competition and reduce concentration in the banking system, ultimately benefiting households and small and medium businesses.</w:t>
      </w:r>
    </w:p>
    <w:p w14:paraId="78088683" w14:textId="4D396095" w:rsidR="00533055" w:rsidRPr="00533055" w:rsidRDefault="00533055" w:rsidP="007521DD">
      <w:pPr>
        <w:pStyle w:val="NormalWeb"/>
        <w:jc w:val="both"/>
        <w:rPr>
          <w:rFonts w:ascii="Segoe UI" w:hAnsi="Segoe UI" w:cs="Segoe UI"/>
          <w:sz w:val="22"/>
          <w:szCs w:val="22"/>
        </w:rPr>
      </w:pPr>
      <w:r w:rsidRPr="00533055">
        <w:rPr>
          <w:rFonts w:ascii="Segoe UI" w:hAnsi="Segoe UI" w:cs="Segoe UI"/>
          <w:sz w:val="22"/>
          <w:szCs w:val="22"/>
        </w:rPr>
        <w:t xml:space="preserve">The team focused on removing restrictions and lowering </w:t>
      </w:r>
      <w:r w:rsidR="007521DD">
        <w:rPr>
          <w:rFonts w:ascii="Segoe UI" w:hAnsi="Segoe UI" w:cs="Segoe UI"/>
          <w:sz w:val="22"/>
          <w:szCs w:val="22"/>
        </w:rPr>
        <w:t xml:space="preserve">entry </w:t>
      </w:r>
      <w:r w:rsidRPr="00533055">
        <w:rPr>
          <w:rFonts w:ascii="Segoe UI" w:hAnsi="Segoe UI" w:cs="Segoe UI"/>
          <w:sz w:val="22"/>
          <w:szCs w:val="22"/>
        </w:rPr>
        <w:t>barriers for new p</w:t>
      </w:r>
      <w:r w:rsidR="007521DD">
        <w:rPr>
          <w:rFonts w:ascii="Segoe UI" w:hAnsi="Segoe UI" w:cs="Segoe UI"/>
          <w:sz w:val="22"/>
          <w:szCs w:val="22"/>
        </w:rPr>
        <w:t>articipant</w:t>
      </w:r>
      <w:r w:rsidRPr="00533055">
        <w:rPr>
          <w:rFonts w:ascii="Segoe UI" w:hAnsi="Segoe UI" w:cs="Segoe UI"/>
          <w:sz w:val="22"/>
          <w:szCs w:val="22"/>
        </w:rPr>
        <w:t>s—especially those already active in the financial market who could help enhance competition, such as credit card companies, nonbank lenders, and payment companies. Throughout this process, there was great emphasis on preserving the stability of the banking system, protecting customers’ interests, and addressing any conflicts of interest that might arise due to these new ownership structures.</w:t>
      </w:r>
    </w:p>
    <w:p w14:paraId="7A1D3929" w14:textId="5D8A3593" w:rsidR="00533055" w:rsidRPr="00533055" w:rsidRDefault="007521DD" w:rsidP="00533055">
      <w:pPr>
        <w:pStyle w:val="NormalWeb"/>
        <w:rPr>
          <w:rFonts w:ascii="Segoe UI" w:hAnsi="Segoe UI" w:cs="Segoe UI"/>
          <w:sz w:val="22"/>
          <w:szCs w:val="22"/>
        </w:rPr>
      </w:pPr>
      <w:r>
        <w:rPr>
          <w:rFonts w:ascii="Segoe UI" w:hAnsi="Segoe UI" w:cs="Segoe UI"/>
          <w:sz w:val="22"/>
          <w:szCs w:val="22"/>
        </w:rPr>
        <w:t>The following</w:t>
      </w:r>
      <w:r w:rsidR="00533055" w:rsidRPr="00533055">
        <w:rPr>
          <w:rFonts w:ascii="Segoe UI" w:hAnsi="Segoe UI" w:cs="Segoe UI"/>
          <w:sz w:val="22"/>
          <w:szCs w:val="22"/>
        </w:rPr>
        <w:t xml:space="preserve"> are the team’s main recommendations:</w:t>
      </w:r>
    </w:p>
    <w:p w14:paraId="392E9CD9" w14:textId="77777777" w:rsidR="007521DD" w:rsidRDefault="00533055" w:rsidP="003B797D">
      <w:pPr>
        <w:pStyle w:val="NormalWeb"/>
        <w:numPr>
          <w:ilvl w:val="0"/>
          <w:numId w:val="11"/>
        </w:numPr>
        <w:jc w:val="both"/>
        <w:rPr>
          <w:rFonts w:ascii="Segoe UI" w:hAnsi="Segoe UI" w:cs="Segoe UI"/>
          <w:sz w:val="22"/>
          <w:szCs w:val="22"/>
        </w:rPr>
      </w:pPr>
      <w:r w:rsidRPr="007521DD">
        <w:rPr>
          <w:rFonts w:ascii="Segoe UI" w:hAnsi="Segoe UI" w:cs="Segoe UI"/>
          <w:sz w:val="22"/>
          <w:szCs w:val="22"/>
        </w:rPr>
        <w:t xml:space="preserve">Create a tiered banking license framework that supports new </w:t>
      </w:r>
      <w:r w:rsidR="007521DD" w:rsidRPr="007521DD">
        <w:rPr>
          <w:rFonts w:ascii="Segoe UI" w:hAnsi="Segoe UI" w:cs="Segoe UI"/>
          <w:sz w:val="22"/>
          <w:szCs w:val="22"/>
        </w:rPr>
        <w:t>participants</w:t>
      </w:r>
      <w:r w:rsidRPr="007521DD">
        <w:rPr>
          <w:rFonts w:ascii="Segoe UI" w:hAnsi="Segoe UI" w:cs="Segoe UI"/>
          <w:sz w:val="22"/>
          <w:szCs w:val="22"/>
        </w:rPr>
        <w:t xml:space="preserve"> entering the banking system. The Bank of Israel’s Banking Supervision Department will update its guidelines to allow for proportional and gradual adoption of supervisory </w:t>
      </w:r>
      <w:r w:rsidR="007521DD" w:rsidRPr="007521DD">
        <w:rPr>
          <w:rFonts w:ascii="Segoe UI" w:hAnsi="Segoe UI" w:cs="Segoe UI"/>
          <w:sz w:val="22"/>
          <w:szCs w:val="22"/>
        </w:rPr>
        <w:t>directives</w:t>
      </w:r>
      <w:r w:rsidRPr="007521DD">
        <w:rPr>
          <w:rFonts w:ascii="Segoe UI" w:hAnsi="Segoe UI" w:cs="Segoe UI"/>
          <w:sz w:val="22"/>
          <w:szCs w:val="22"/>
        </w:rPr>
        <w:t xml:space="preserve"> for new and existing banks, establishing three levels of supervision </w:t>
      </w:r>
      <w:r w:rsidR="007521DD" w:rsidRPr="007521DD">
        <w:rPr>
          <w:rFonts w:ascii="Segoe UI" w:hAnsi="Segoe UI" w:cs="Segoe UI"/>
          <w:sz w:val="22"/>
          <w:szCs w:val="22"/>
        </w:rPr>
        <w:t>in line</w:t>
      </w:r>
      <w:r w:rsidRPr="007521DD">
        <w:rPr>
          <w:rFonts w:ascii="Segoe UI" w:hAnsi="Segoe UI" w:cs="Segoe UI"/>
          <w:sz w:val="22"/>
          <w:szCs w:val="22"/>
        </w:rPr>
        <w:t xml:space="preserve"> with each bank’s size.</w:t>
      </w:r>
    </w:p>
    <w:p w14:paraId="76E183EC" w14:textId="77777777" w:rsidR="007521DD" w:rsidRDefault="00533055" w:rsidP="003B797D">
      <w:pPr>
        <w:pStyle w:val="NormalWeb"/>
        <w:numPr>
          <w:ilvl w:val="0"/>
          <w:numId w:val="11"/>
        </w:numPr>
        <w:jc w:val="both"/>
        <w:rPr>
          <w:rFonts w:ascii="Segoe UI" w:hAnsi="Segoe UI" w:cs="Segoe UI"/>
          <w:sz w:val="22"/>
          <w:szCs w:val="22"/>
        </w:rPr>
      </w:pPr>
      <w:r w:rsidRPr="007521DD">
        <w:rPr>
          <w:rFonts w:ascii="Segoe UI" w:hAnsi="Segoe UI" w:cs="Segoe UI"/>
          <w:sz w:val="22"/>
          <w:szCs w:val="22"/>
        </w:rPr>
        <w:t>A small bank</w:t>
      </w:r>
      <w:r w:rsidR="007521DD" w:rsidRPr="007521DD">
        <w:rPr>
          <w:rFonts w:ascii="Segoe UI" w:hAnsi="Segoe UI" w:cs="Segoe UI"/>
          <w:sz w:val="22"/>
          <w:szCs w:val="22"/>
        </w:rPr>
        <w:t>, the</w:t>
      </w:r>
      <w:r w:rsidRPr="007521DD">
        <w:rPr>
          <w:rFonts w:ascii="Segoe UI" w:hAnsi="Segoe UI" w:cs="Segoe UI"/>
          <w:sz w:val="22"/>
          <w:szCs w:val="22"/>
        </w:rPr>
        <w:t xml:space="preserve"> assets </w:t>
      </w:r>
      <w:r w:rsidR="007521DD" w:rsidRPr="007521DD">
        <w:rPr>
          <w:rFonts w:ascii="Segoe UI" w:hAnsi="Segoe UI" w:cs="Segoe UI"/>
          <w:sz w:val="22"/>
          <w:szCs w:val="22"/>
        </w:rPr>
        <w:t xml:space="preserve">of which </w:t>
      </w:r>
      <w:r w:rsidRPr="007521DD">
        <w:rPr>
          <w:rFonts w:ascii="Segoe UI" w:hAnsi="Segoe UI" w:cs="Segoe UI"/>
          <w:sz w:val="22"/>
          <w:szCs w:val="22"/>
        </w:rPr>
        <w:t>don’t exceed 5</w:t>
      </w:r>
      <w:r w:rsidR="007521DD" w:rsidRPr="007521DD">
        <w:rPr>
          <w:rFonts w:ascii="Segoe UI" w:hAnsi="Segoe UI" w:cs="Segoe UI"/>
          <w:sz w:val="22"/>
          <w:szCs w:val="22"/>
        </w:rPr>
        <w:t xml:space="preserve"> percent</w:t>
      </w:r>
      <w:r w:rsidRPr="007521DD">
        <w:rPr>
          <w:rFonts w:ascii="Segoe UI" w:hAnsi="Segoe UI" w:cs="Segoe UI"/>
          <w:sz w:val="22"/>
          <w:szCs w:val="22"/>
        </w:rPr>
        <w:t xml:space="preserve"> of the total banking system’s assets</w:t>
      </w:r>
      <w:r w:rsidR="007521DD" w:rsidRPr="007521DD">
        <w:rPr>
          <w:rFonts w:ascii="Segoe UI" w:hAnsi="Segoe UI" w:cs="Segoe UI"/>
          <w:sz w:val="22"/>
          <w:szCs w:val="22"/>
        </w:rPr>
        <w:t>,</w:t>
      </w:r>
      <w:r w:rsidRPr="007521DD">
        <w:rPr>
          <w:rFonts w:ascii="Segoe UI" w:hAnsi="Segoe UI" w:cs="Segoe UI"/>
          <w:sz w:val="22"/>
          <w:szCs w:val="22"/>
        </w:rPr>
        <w:t xml:space="preserve"> can run a flexible, innovative, and lean business model, including offering only deposits and credit if it wishes.</w:t>
      </w:r>
    </w:p>
    <w:p w14:paraId="7E39CE58" w14:textId="77777777" w:rsidR="007521DD" w:rsidRDefault="00533055" w:rsidP="007521DD">
      <w:pPr>
        <w:pStyle w:val="NormalWeb"/>
        <w:numPr>
          <w:ilvl w:val="0"/>
          <w:numId w:val="11"/>
        </w:numPr>
        <w:jc w:val="both"/>
        <w:rPr>
          <w:rFonts w:ascii="Segoe UI" w:hAnsi="Segoe UI" w:cs="Segoe UI"/>
          <w:sz w:val="22"/>
          <w:szCs w:val="22"/>
        </w:rPr>
      </w:pPr>
      <w:r w:rsidRPr="007521DD">
        <w:rPr>
          <w:rFonts w:ascii="Segoe UI" w:hAnsi="Segoe UI" w:cs="Segoe UI"/>
          <w:sz w:val="22"/>
          <w:szCs w:val="22"/>
        </w:rPr>
        <w:t xml:space="preserve">A holding company that also controls an institutional </w:t>
      </w:r>
      <w:r w:rsidR="007521DD" w:rsidRPr="007521DD">
        <w:rPr>
          <w:rFonts w:ascii="Segoe UI" w:hAnsi="Segoe UI" w:cs="Segoe UI"/>
          <w:sz w:val="22"/>
          <w:szCs w:val="22"/>
        </w:rPr>
        <w:t>investor</w:t>
      </w:r>
      <w:r w:rsidRPr="007521DD">
        <w:rPr>
          <w:rFonts w:ascii="Segoe UI" w:hAnsi="Segoe UI" w:cs="Segoe UI"/>
          <w:sz w:val="22"/>
          <w:szCs w:val="22"/>
        </w:rPr>
        <w:t xml:space="preserve"> will be allowed to control a bank </w:t>
      </w:r>
      <w:r w:rsidR="007521DD" w:rsidRPr="007521DD">
        <w:rPr>
          <w:rFonts w:ascii="Segoe UI" w:hAnsi="Segoe UI" w:cs="Segoe UI"/>
          <w:sz w:val="22"/>
          <w:szCs w:val="22"/>
        </w:rPr>
        <w:t>with</w:t>
      </w:r>
      <w:r w:rsidRPr="007521DD">
        <w:rPr>
          <w:rFonts w:ascii="Segoe UI" w:hAnsi="Segoe UI" w:cs="Segoe UI"/>
          <w:sz w:val="22"/>
          <w:szCs w:val="22"/>
        </w:rPr>
        <w:t xml:space="preserve"> assets </w:t>
      </w:r>
      <w:r w:rsidR="007521DD" w:rsidRPr="007521DD">
        <w:rPr>
          <w:rFonts w:ascii="Segoe UI" w:hAnsi="Segoe UI" w:cs="Segoe UI"/>
          <w:sz w:val="22"/>
          <w:szCs w:val="22"/>
        </w:rPr>
        <w:t xml:space="preserve">that </w:t>
      </w:r>
      <w:r w:rsidRPr="007521DD">
        <w:rPr>
          <w:rFonts w:ascii="Segoe UI" w:hAnsi="Segoe UI" w:cs="Segoe UI"/>
          <w:sz w:val="22"/>
          <w:szCs w:val="22"/>
        </w:rPr>
        <w:t>don’t exceed 2.5</w:t>
      </w:r>
      <w:r w:rsidR="007521DD" w:rsidRPr="007521DD">
        <w:rPr>
          <w:rFonts w:ascii="Segoe UI" w:hAnsi="Segoe UI" w:cs="Segoe UI"/>
          <w:sz w:val="22"/>
          <w:szCs w:val="22"/>
        </w:rPr>
        <w:t xml:space="preserve"> percent</w:t>
      </w:r>
      <w:r w:rsidRPr="007521DD">
        <w:rPr>
          <w:rFonts w:ascii="Segoe UI" w:hAnsi="Segoe UI" w:cs="Segoe UI"/>
          <w:sz w:val="22"/>
          <w:szCs w:val="22"/>
        </w:rPr>
        <w:t xml:space="preserve"> of the total banking system, with the possibility of raising that threshold to 5</w:t>
      </w:r>
      <w:r w:rsidR="007521DD" w:rsidRPr="007521DD">
        <w:rPr>
          <w:rFonts w:ascii="Segoe UI" w:hAnsi="Segoe UI" w:cs="Segoe UI"/>
          <w:sz w:val="22"/>
          <w:szCs w:val="22"/>
        </w:rPr>
        <w:t xml:space="preserve"> percent</w:t>
      </w:r>
      <w:r w:rsidRPr="007521DD">
        <w:rPr>
          <w:rFonts w:ascii="Segoe UI" w:hAnsi="Segoe UI" w:cs="Segoe UI"/>
          <w:sz w:val="22"/>
          <w:szCs w:val="22"/>
        </w:rPr>
        <w:t xml:space="preserve"> if approved by the Minister </w:t>
      </w:r>
      <w:r w:rsidR="007521DD" w:rsidRPr="007521DD">
        <w:rPr>
          <w:rFonts w:ascii="Segoe UI" w:hAnsi="Segoe UI" w:cs="Segoe UI"/>
          <w:sz w:val="22"/>
          <w:szCs w:val="22"/>
        </w:rPr>
        <w:t xml:space="preserve">of Finance </w:t>
      </w:r>
      <w:r w:rsidRPr="007521DD">
        <w:rPr>
          <w:rFonts w:ascii="Segoe UI" w:hAnsi="Segoe UI" w:cs="Segoe UI"/>
          <w:sz w:val="22"/>
          <w:szCs w:val="22"/>
        </w:rPr>
        <w:t xml:space="preserve">and the Governor of the Bank of Israel, in consultation with a dedicated oversight team. Such a bank would have restrictions—for example, it could not be involved in </w:t>
      </w:r>
      <w:r w:rsidRPr="007521DD">
        <w:rPr>
          <w:rFonts w:ascii="Segoe UI" w:hAnsi="Segoe UI" w:cs="Segoe UI"/>
          <w:sz w:val="22"/>
          <w:szCs w:val="22"/>
        </w:rPr>
        <w:lastRenderedPageBreak/>
        <w:t>investment advice, brokerage, or marketing of investment, insurance, or savings products.</w:t>
      </w:r>
    </w:p>
    <w:p w14:paraId="4E26D78C" w14:textId="69B406E0" w:rsidR="00533055" w:rsidRPr="007521DD" w:rsidRDefault="00533055" w:rsidP="00587D8E">
      <w:pPr>
        <w:pStyle w:val="NormalWeb"/>
        <w:numPr>
          <w:ilvl w:val="0"/>
          <w:numId w:val="11"/>
        </w:numPr>
        <w:jc w:val="both"/>
        <w:rPr>
          <w:rFonts w:ascii="Segoe UI" w:hAnsi="Segoe UI" w:cs="Segoe UI"/>
          <w:sz w:val="22"/>
          <w:szCs w:val="22"/>
        </w:rPr>
      </w:pPr>
      <w:r w:rsidRPr="007521DD">
        <w:rPr>
          <w:rFonts w:ascii="Segoe UI" w:hAnsi="Segoe UI" w:cs="Segoe UI"/>
          <w:sz w:val="22"/>
          <w:szCs w:val="22"/>
        </w:rPr>
        <w:t xml:space="preserve">Real corporations will also be allowed to control a bank under the proposed framework, similar to the current </w:t>
      </w:r>
      <w:r w:rsidR="007521DD">
        <w:rPr>
          <w:rFonts w:ascii="Segoe UI" w:hAnsi="Segoe UI" w:cs="Segoe UI"/>
          <w:sz w:val="22"/>
          <w:szCs w:val="22"/>
        </w:rPr>
        <w:t>legal</w:t>
      </w:r>
      <w:r w:rsidRPr="007521DD">
        <w:rPr>
          <w:rFonts w:ascii="Segoe UI" w:hAnsi="Segoe UI" w:cs="Segoe UI"/>
          <w:sz w:val="22"/>
          <w:szCs w:val="22"/>
        </w:rPr>
        <w:t xml:space="preserve"> situation.</w:t>
      </w:r>
    </w:p>
    <w:p w14:paraId="4328073A" w14:textId="25D722EE" w:rsidR="00533055" w:rsidRPr="00533055" w:rsidRDefault="00533055" w:rsidP="00587D8E">
      <w:pPr>
        <w:pStyle w:val="NormalWeb"/>
        <w:jc w:val="both"/>
        <w:rPr>
          <w:rFonts w:ascii="Segoe UI" w:hAnsi="Segoe UI" w:cs="Segoe UI"/>
          <w:sz w:val="22"/>
          <w:szCs w:val="22"/>
        </w:rPr>
      </w:pPr>
      <w:r w:rsidRPr="00533055">
        <w:rPr>
          <w:rFonts w:ascii="Segoe UI" w:hAnsi="Segoe UI" w:cs="Segoe UI"/>
          <w:sz w:val="22"/>
          <w:szCs w:val="22"/>
        </w:rPr>
        <w:t>In addition to the two co</w:t>
      </w:r>
      <w:r w:rsidR="007521DD">
        <w:rPr>
          <w:rFonts w:ascii="Segoe UI" w:hAnsi="Segoe UI" w:cs="Segoe UI"/>
          <w:sz w:val="22"/>
          <w:szCs w:val="22"/>
        </w:rPr>
        <w:t>-</w:t>
      </w:r>
      <w:r w:rsidRPr="00533055">
        <w:rPr>
          <w:rFonts w:ascii="Segoe UI" w:hAnsi="Segoe UI" w:cs="Segoe UI"/>
          <w:sz w:val="22"/>
          <w:szCs w:val="22"/>
        </w:rPr>
        <w:t>chairs, the team includes Israel Securities Authority</w:t>
      </w:r>
      <w:r w:rsidR="007521DD">
        <w:rPr>
          <w:rFonts w:ascii="Segoe UI" w:hAnsi="Segoe UI" w:cs="Segoe UI"/>
          <w:sz w:val="22"/>
          <w:szCs w:val="22"/>
        </w:rPr>
        <w:t xml:space="preserve"> Chairman,</w:t>
      </w:r>
      <w:r w:rsidRPr="00533055">
        <w:rPr>
          <w:rFonts w:ascii="Segoe UI" w:hAnsi="Segoe UI" w:cs="Segoe UI"/>
          <w:sz w:val="22"/>
          <w:szCs w:val="22"/>
        </w:rPr>
        <w:t xml:space="preserve"> Attorney Sefi Zinger; the Commissioner of Capital Markets, Insurance, and Savings, Amit Gal; Israel Competition Authority</w:t>
      </w:r>
      <w:r w:rsidR="007521DD">
        <w:rPr>
          <w:rFonts w:ascii="Segoe UI" w:hAnsi="Segoe UI" w:cs="Segoe UI"/>
          <w:sz w:val="22"/>
          <w:szCs w:val="22"/>
        </w:rPr>
        <w:t xml:space="preserve"> Director General</w:t>
      </w:r>
      <w:r w:rsidRPr="00533055">
        <w:rPr>
          <w:rFonts w:ascii="Segoe UI" w:hAnsi="Segoe UI" w:cs="Segoe UI"/>
          <w:sz w:val="22"/>
          <w:szCs w:val="22"/>
        </w:rPr>
        <w:t xml:space="preserve">, Attorney Michal Cohen; </w:t>
      </w:r>
      <w:r w:rsidR="007521DD">
        <w:rPr>
          <w:rFonts w:ascii="Segoe UI" w:hAnsi="Segoe UI" w:cs="Segoe UI"/>
          <w:sz w:val="22"/>
          <w:szCs w:val="22"/>
        </w:rPr>
        <w:t>the</w:t>
      </w:r>
      <w:r w:rsidRPr="00533055">
        <w:rPr>
          <w:rFonts w:ascii="Segoe UI" w:hAnsi="Segoe UI" w:cs="Segoe UI"/>
          <w:sz w:val="22"/>
          <w:szCs w:val="22"/>
        </w:rPr>
        <w:t xml:space="preserve"> Deputy Attorney General for Economic Law; the Head of Financial Stability at the Bank of Israel; and the Director of the Licensing and New Banks Unit in the Banking Supervision Department.</w:t>
      </w:r>
    </w:p>
    <w:p w14:paraId="474D995E" w14:textId="77777777" w:rsidR="00587D8E" w:rsidRDefault="00533055" w:rsidP="00587D8E">
      <w:pPr>
        <w:pStyle w:val="NormalWeb"/>
        <w:jc w:val="both"/>
        <w:rPr>
          <w:rFonts w:ascii="Segoe UI" w:hAnsi="Segoe UI" w:cs="Segoe UI"/>
          <w:sz w:val="22"/>
          <w:szCs w:val="22"/>
        </w:rPr>
      </w:pPr>
      <w:r w:rsidRPr="00533055">
        <w:rPr>
          <w:rFonts w:ascii="Segoe UI" w:hAnsi="Segoe UI" w:cs="Segoe UI"/>
          <w:sz w:val="22"/>
          <w:szCs w:val="22"/>
        </w:rPr>
        <w:t xml:space="preserve">Finance Minister Bezalel </w:t>
      </w:r>
      <w:proofErr w:type="spellStart"/>
      <w:r w:rsidRPr="00533055">
        <w:rPr>
          <w:rFonts w:ascii="Segoe UI" w:hAnsi="Segoe UI" w:cs="Segoe UI"/>
          <w:sz w:val="22"/>
          <w:szCs w:val="22"/>
        </w:rPr>
        <w:t>Smotrich</w:t>
      </w:r>
      <w:proofErr w:type="spellEnd"/>
      <w:r w:rsidRPr="00533055">
        <w:rPr>
          <w:rFonts w:ascii="Segoe UI" w:hAnsi="Segoe UI" w:cs="Segoe UI"/>
          <w:sz w:val="22"/>
          <w:szCs w:val="22"/>
        </w:rPr>
        <w:t>:</w:t>
      </w:r>
    </w:p>
    <w:p w14:paraId="44AF281F" w14:textId="77777777" w:rsidR="00587D8E" w:rsidRDefault="00533055" w:rsidP="00587D8E">
      <w:pPr>
        <w:pStyle w:val="NormalWeb"/>
        <w:jc w:val="both"/>
        <w:rPr>
          <w:rFonts w:ascii="Segoe UI" w:hAnsi="Segoe UI" w:cs="Segoe UI"/>
          <w:sz w:val="22"/>
          <w:szCs w:val="22"/>
        </w:rPr>
      </w:pPr>
      <w:r w:rsidRPr="00533055">
        <w:rPr>
          <w:rFonts w:ascii="Segoe UI" w:hAnsi="Segoe UI" w:cs="Segoe UI"/>
          <w:sz w:val="22"/>
          <w:szCs w:val="22"/>
        </w:rPr>
        <w:t>“Citizens of Israel, today marks a pivotal moment in our real and determined fight against the high cost of living. For years, the banking system was too centralized, insufficiently competitive, and didn’t offer fair enough terms. The banks charged us high interest rates for credit but barely paid us for our deposits. The gap was too big, and it wasn’t just because of market forces—it was because there wasn’t enough competition.</w:t>
      </w:r>
    </w:p>
    <w:p w14:paraId="71AA0F17" w14:textId="626ABC15" w:rsidR="00533055" w:rsidRPr="00533055" w:rsidRDefault="00587D8E" w:rsidP="00587D8E">
      <w:pPr>
        <w:pStyle w:val="NormalWeb"/>
        <w:jc w:val="both"/>
        <w:rPr>
          <w:rFonts w:ascii="Segoe UI" w:hAnsi="Segoe UI" w:cs="Segoe UI"/>
          <w:sz w:val="22"/>
          <w:szCs w:val="22"/>
        </w:rPr>
      </w:pPr>
      <w:r>
        <w:rPr>
          <w:rFonts w:ascii="Segoe UI" w:hAnsi="Segoe UI" w:cs="Segoe UI"/>
          <w:sz w:val="22"/>
          <w:szCs w:val="22"/>
        </w:rPr>
        <w:t>“</w:t>
      </w:r>
      <w:r w:rsidR="00533055" w:rsidRPr="00533055">
        <w:rPr>
          <w:rFonts w:ascii="Segoe UI" w:hAnsi="Segoe UI" w:cs="Segoe UI"/>
          <w:sz w:val="22"/>
          <w:szCs w:val="22"/>
        </w:rPr>
        <w:t xml:space="preserve">When money is expensive, everything is expensive—mortgages, running a business, even opening a falafel stand. The report published today lays out a practical, responsible, and innovative plan that will allow new </w:t>
      </w:r>
      <w:r>
        <w:rPr>
          <w:rFonts w:ascii="Segoe UI" w:hAnsi="Segoe UI" w:cs="Segoe UI"/>
          <w:sz w:val="22"/>
          <w:szCs w:val="22"/>
        </w:rPr>
        <w:t>participants</w:t>
      </w:r>
      <w:r w:rsidR="00533055" w:rsidRPr="00533055">
        <w:rPr>
          <w:rFonts w:ascii="Segoe UI" w:hAnsi="Segoe UI" w:cs="Segoe UI"/>
          <w:sz w:val="22"/>
          <w:szCs w:val="22"/>
        </w:rPr>
        <w:t xml:space="preserve"> to enter the market and open it up to real competition. This is a necessary, bold move that will break the monopoly, bring interest rates down, and give power back to the </w:t>
      </w:r>
      <w:r>
        <w:rPr>
          <w:rFonts w:ascii="Segoe UI" w:hAnsi="Segoe UI" w:cs="Segoe UI"/>
          <w:sz w:val="22"/>
          <w:szCs w:val="22"/>
        </w:rPr>
        <w:t>public</w:t>
      </w:r>
      <w:r w:rsidR="00533055" w:rsidRPr="00533055">
        <w:rPr>
          <w:rFonts w:ascii="Segoe UI" w:hAnsi="Segoe UI" w:cs="Segoe UI"/>
          <w:sz w:val="22"/>
          <w:szCs w:val="22"/>
        </w:rPr>
        <w:t>. I want to thank all the professionals involved in formulating these recommendations. From here on, we’ll keep moving forward to implement them for the sake of Israel’s citizens.”</w:t>
      </w:r>
    </w:p>
    <w:p w14:paraId="32906524" w14:textId="56B07657" w:rsidR="00587D8E" w:rsidRDefault="00587D8E" w:rsidP="00587D8E">
      <w:pPr>
        <w:pStyle w:val="NormalWeb"/>
        <w:rPr>
          <w:rFonts w:ascii="Segoe UI" w:hAnsi="Segoe UI" w:cs="Segoe UI"/>
          <w:sz w:val="22"/>
          <w:szCs w:val="22"/>
        </w:rPr>
      </w:pPr>
      <w:r>
        <w:rPr>
          <w:rFonts w:ascii="Segoe UI" w:hAnsi="Segoe UI" w:cs="Segoe UI"/>
          <w:sz w:val="22"/>
          <w:szCs w:val="22"/>
        </w:rPr>
        <w:t xml:space="preserve">Bank of Israel Governor </w:t>
      </w:r>
      <w:r w:rsidR="00533055" w:rsidRPr="00533055">
        <w:rPr>
          <w:rFonts w:ascii="Segoe UI" w:hAnsi="Segoe UI" w:cs="Segoe UI"/>
          <w:sz w:val="22"/>
          <w:szCs w:val="22"/>
        </w:rPr>
        <w:t>Prof</w:t>
      </w:r>
      <w:r>
        <w:rPr>
          <w:rFonts w:ascii="Segoe UI" w:hAnsi="Segoe UI" w:cs="Segoe UI"/>
          <w:sz w:val="22"/>
          <w:szCs w:val="22"/>
        </w:rPr>
        <w:t>.</w:t>
      </w:r>
      <w:r w:rsidR="00533055" w:rsidRPr="00533055">
        <w:rPr>
          <w:rFonts w:ascii="Segoe UI" w:hAnsi="Segoe UI" w:cs="Segoe UI"/>
          <w:sz w:val="22"/>
          <w:szCs w:val="22"/>
        </w:rPr>
        <w:t xml:space="preserve"> Amir Yaron</w:t>
      </w:r>
      <w:proofErr w:type="gramStart"/>
      <w:r w:rsidR="00533055" w:rsidRPr="00533055">
        <w:rPr>
          <w:rFonts w:ascii="Segoe UI" w:hAnsi="Segoe UI" w:cs="Segoe UI"/>
          <w:sz w:val="22"/>
          <w:szCs w:val="22"/>
        </w:rPr>
        <w:t>:</w:t>
      </w:r>
      <w:proofErr w:type="gramEnd"/>
      <w:r w:rsidR="00533055" w:rsidRPr="00533055">
        <w:rPr>
          <w:rFonts w:ascii="Segoe UI" w:hAnsi="Segoe UI" w:cs="Segoe UI"/>
          <w:sz w:val="22"/>
          <w:szCs w:val="22"/>
        </w:rPr>
        <w:br/>
        <w:t xml:space="preserve">“The Bank of Israel views promoting competition in the banking system as a central strategic goal, with the </w:t>
      </w:r>
      <w:r>
        <w:rPr>
          <w:rFonts w:ascii="Segoe UI" w:hAnsi="Segoe UI" w:cs="Segoe UI"/>
          <w:sz w:val="22"/>
          <w:szCs w:val="22"/>
        </w:rPr>
        <w:t>aim</w:t>
      </w:r>
      <w:r w:rsidR="00533055" w:rsidRPr="00533055">
        <w:rPr>
          <w:rFonts w:ascii="Segoe UI" w:hAnsi="Segoe UI" w:cs="Segoe UI"/>
          <w:sz w:val="22"/>
          <w:szCs w:val="22"/>
        </w:rPr>
        <w:t xml:space="preserve"> of improving banking services for the entire public. I’d like to thank the team for their thorough work on boosting competition in the retail banking sector. The team worked diligently to develop plans that will encourage more entities to become banks, thereby improving competition, service, and customer satisfaction. At the same time, they struck the right balance by preventing potential conflicts of interest and preserving the </w:t>
      </w:r>
      <w:r>
        <w:rPr>
          <w:rFonts w:ascii="Segoe UI" w:hAnsi="Segoe UI" w:cs="Segoe UI"/>
          <w:sz w:val="22"/>
          <w:szCs w:val="22"/>
        </w:rPr>
        <w:t>stability of the financial system</w:t>
      </w:r>
      <w:r w:rsidR="00533055" w:rsidRPr="00533055">
        <w:rPr>
          <w:rFonts w:ascii="Segoe UI" w:hAnsi="Segoe UI" w:cs="Segoe UI"/>
          <w:sz w:val="22"/>
          <w:szCs w:val="22"/>
        </w:rPr>
        <w:t>.</w:t>
      </w:r>
    </w:p>
    <w:p w14:paraId="2411C916" w14:textId="287DFCB0" w:rsidR="00533055" w:rsidRPr="00533055" w:rsidRDefault="00587D8E" w:rsidP="00587D8E">
      <w:pPr>
        <w:pStyle w:val="NormalWeb"/>
        <w:rPr>
          <w:rFonts w:ascii="Segoe UI" w:hAnsi="Segoe UI" w:cs="Segoe UI"/>
          <w:sz w:val="22"/>
          <w:szCs w:val="22"/>
        </w:rPr>
      </w:pPr>
      <w:r>
        <w:rPr>
          <w:rFonts w:ascii="Segoe UI" w:hAnsi="Segoe UI" w:cs="Segoe UI"/>
          <w:sz w:val="22"/>
          <w:szCs w:val="22"/>
        </w:rPr>
        <w:t>“</w:t>
      </w:r>
      <w:r w:rsidR="00533055" w:rsidRPr="00533055">
        <w:rPr>
          <w:rFonts w:ascii="Segoe UI" w:hAnsi="Segoe UI" w:cs="Segoe UI"/>
          <w:sz w:val="22"/>
          <w:szCs w:val="22"/>
        </w:rPr>
        <w:t xml:space="preserve">Granting a banking license to additional entities is an opportunity to strengthen competition in both credit and deposits, which will ultimately benefit customers—especially households and small businesses. The framework suggests a graduated approach that lowers barriers for new </w:t>
      </w:r>
      <w:r>
        <w:rPr>
          <w:rFonts w:ascii="Segoe UI" w:hAnsi="Segoe UI" w:cs="Segoe UI"/>
          <w:sz w:val="22"/>
          <w:szCs w:val="22"/>
        </w:rPr>
        <w:t>participants</w:t>
      </w:r>
      <w:r w:rsidR="00533055" w:rsidRPr="00533055">
        <w:rPr>
          <w:rFonts w:ascii="Segoe UI" w:hAnsi="Segoe UI" w:cs="Segoe UI"/>
          <w:sz w:val="22"/>
          <w:szCs w:val="22"/>
        </w:rPr>
        <w:t xml:space="preserve"> to get a banking license, all while safeguarding depositors’ funds and the financial system’s stability. We must implement these steps responsibly, with a long-term view of what benefits consumers and the economy. I’d like to thank the team and its leaders for their comprehensive and professional work over the past few months.”</w:t>
      </w:r>
    </w:p>
    <w:p w14:paraId="2D626E2F" w14:textId="77777777" w:rsidR="00AA3764" w:rsidRDefault="00587D8E" w:rsidP="00AA3764">
      <w:pPr>
        <w:pStyle w:val="NormalWeb"/>
        <w:jc w:val="both"/>
        <w:rPr>
          <w:rFonts w:ascii="Segoe UI" w:hAnsi="Segoe UI" w:cs="Segoe UI"/>
          <w:sz w:val="22"/>
          <w:szCs w:val="22"/>
        </w:rPr>
      </w:pPr>
      <w:r>
        <w:rPr>
          <w:rFonts w:ascii="Segoe UI" w:hAnsi="Segoe UI" w:cs="Segoe UI"/>
          <w:sz w:val="22"/>
          <w:szCs w:val="22"/>
        </w:rPr>
        <w:t>Ministry of Finance</w:t>
      </w:r>
      <w:r w:rsidRPr="00533055">
        <w:rPr>
          <w:rFonts w:ascii="Segoe UI" w:hAnsi="Segoe UI" w:cs="Segoe UI"/>
          <w:sz w:val="22"/>
          <w:szCs w:val="22"/>
        </w:rPr>
        <w:t xml:space="preserve"> Budget Director</w:t>
      </w:r>
      <w:r>
        <w:rPr>
          <w:rFonts w:ascii="Segoe UI" w:hAnsi="Segoe UI" w:cs="Segoe UI"/>
          <w:sz w:val="22"/>
          <w:szCs w:val="22"/>
        </w:rPr>
        <w:t xml:space="preserve"> </w:t>
      </w:r>
      <w:proofErr w:type="spellStart"/>
      <w:r w:rsidR="00533055">
        <w:rPr>
          <w:rFonts w:ascii="Segoe UI" w:hAnsi="Segoe UI" w:cs="Segoe UI"/>
          <w:sz w:val="22"/>
          <w:szCs w:val="22"/>
        </w:rPr>
        <w:t>Yogev</w:t>
      </w:r>
      <w:proofErr w:type="spellEnd"/>
      <w:r w:rsidR="00533055">
        <w:rPr>
          <w:rFonts w:ascii="Segoe UI" w:hAnsi="Segoe UI" w:cs="Segoe UI"/>
          <w:sz w:val="22"/>
          <w:szCs w:val="22"/>
        </w:rPr>
        <w:t xml:space="preserve"> Gradu</w:t>
      </w:r>
      <w:r>
        <w:rPr>
          <w:rFonts w:ascii="Segoe UI" w:hAnsi="Segoe UI" w:cs="Segoe UI"/>
          <w:sz w:val="22"/>
          <w:szCs w:val="22"/>
        </w:rPr>
        <w:t>s:</w:t>
      </w:r>
    </w:p>
    <w:p w14:paraId="0C7CD838" w14:textId="77777777" w:rsidR="00AA3764" w:rsidRDefault="00533055" w:rsidP="00AA3764">
      <w:pPr>
        <w:pStyle w:val="NormalWeb"/>
        <w:jc w:val="both"/>
        <w:rPr>
          <w:rFonts w:ascii="Segoe UI" w:hAnsi="Segoe UI" w:cs="Segoe UI"/>
          <w:sz w:val="22"/>
          <w:szCs w:val="22"/>
        </w:rPr>
      </w:pPr>
      <w:r w:rsidRPr="00533055">
        <w:rPr>
          <w:rFonts w:ascii="Segoe UI" w:hAnsi="Segoe UI" w:cs="Segoe UI"/>
          <w:sz w:val="22"/>
          <w:szCs w:val="22"/>
        </w:rPr>
        <w:t>“The recommendations we</w:t>
      </w:r>
      <w:r w:rsidR="00587D8E">
        <w:rPr>
          <w:rFonts w:ascii="Segoe UI" w:hAnsi="Segoe UI" w:cs="Segoe UI"/>
          <w:sz w:val="22"/>
          <w:szCs w:val="22"/>
        </w:rPr>
        <w:t xml:space="preserve"> a</w:t>
      </w:r>
      <w:r w:rsidRPr="00533055">
        <w:rPr>
          <w:rFonts w:ascii="Segoe UI" w:hAnsi="Segoe UI" w:cs="Segoe UI"/>
          <w:sz w:val="22"/>
          <w:szCs w:val="22"/>
        </w:rPr>
        <w:t xml:space="preserve">re presenting today to the </w:t>
      </w:r>
      <w:r w:rsidR="00AA3764">
        <w:rPr>
          <w:rFonts w:ascii="Segoe UI" w:hAnsi="Segoe UI" w:cs="Segoe UI"/>
          <w:sz w:val="22"/>
          <w:szCs w:val="22"/>
        </w:rPr>
        <w:t xml:space="preserve">Minister of </w:t>
      </w:r>
      <w:r w:rsidRPr="00533055">
        <w:rPr>
          <w:rFonts w:ascii="Segoe UI" w:hAnsi="Segoe UI" w:cs="Segoe UI"/>
          <w:sz w:val="22"/>
          <w:szCs w:val="22"/>
        </w:rPr>
        <w:t xml:space="preserve">Finance and the </w:t>
      </w:r>
      <w:r w:rsidR="00AA3764">
        <w:rPr>
          <w:rFonts w:ascii="Segoe UI" w:hAnsi="Segoe UI" w:cs="Segoe UI"/>
          <w:sz w:val="22"/>
          <w:szCs w:val="22"/>
        </w:rPr>
        <w:t>G</w:t>
      </w:r>
      <w:r w:rsidRPr="00533055">
        <w:rPr>
          <w:rFonts w:ascii="Segoe UI" w:hAnsi="Segoe UI" w:cs="Segoe UI"/>
          <w:sz w:val="22"/>
          <w:szCs w:val="22"/>
        </w:rPr>
        <w:t xml:space="preserve">overnor of the Bank of Israel join a long list of moves that the Budget Department has led and promoted over recent years, aimed at boosting competition, tackling the high cost of living, and developing Israel’s financial industry. At the heart of these efforts is the entrance of new, competitive </w:t>
      </w:r>
      <w:r w:rsidR="00AA3764">
        <w:rPr>
          <w:rFonts w:ascii="Segoe UI" w:hAnsi="Segoe UI" w:cs="Segoe UI"/>
          <w:sz w:val="22"/>
          <w:szCs w:val="22"/>
        </w:rPr>
        <w:t>participants</w:t>
      </w:r>
      <w:r w:rsidRPr="00533055">
        <w:rPr>
          <w:rFonts w:ascii="Segoe UI" w:hAnsi="Segoe UI" w:cs="Segoe UI"/>
          <w:sz w:val="22"/>
          <w:szCs w:val="22"/>
        </w:rPr>
        <w:t xml:space="preserve"> into banking and finance—just as we saw with the Bachar reform (the 'Bachar Committee'), which doubled the number of </w:t>
      </w:r>
      <w:r w:rsidR="00AA3764">
        <w:rPr>
          <w:rFonts w:ascii="Segoe UI" w:hAnsi="Segoe UI" w:cs="Segoe UI"/>
          <w:sz w:val="22"/>
          <w:szCs w:val="22"/>
        </w:rPr>
        <w:t>participants</w:t>
      </w:r>
      <w:r w:rsidRPr="00533055">
        <w:rPr>
          <w:rFonts w:ascii="Segoe UI" w:hAnsi="Segoe UI" w:cs="Segoe UI"/>
          <w:sz w:val="22"/>
          <w:szCs w:val="22"/>
        </w:rPr>
        <w:t xml:space="preserve"> offering competitive, attractive financing to large businesses.</w:t>
      </w:r>
    </w:p>
    <w:p w14:paraId="595C21D7" w14:textId="2761EDD3" w:rsidR="00533055" w:rsidRPr="00533055" w:rsidRDefault="00AA3764" w:rsidP="00AA3764">
      <w:pPr>
        <w:pStyle w:val="NormalWeb"/>
        <w:jc w:val="both"/>
        <w:rPr>
          <w:rFonts w:ascii="Segoe UI" w:hAnsi="Segoe UI" w:cs="Segoe UI"/>
          <w:sz w:val="22"/>
          <w:szCs w:val="22"/>
        </w:rPr>
      </w:pPr>
      <w:r>
        <w:rPr>
          <w:rFonts w:ascii="Segoe UI" w:hAnsi="Segoe UI" w:cs="Segoe UI"/>
          <w:sz w:val="22"/>
          <w:szCs w:val="22"/>
        </w:rPr>
        <w:lastRenderedPageBreak/>
        <w:t>“</w:t>
      </w:r>
      <w:r w:rsidR="00533055" w:rsidRPr="00533055">
        <w:rPr>
          <w:rFonts w:ascii="Segoe UI" w:hAnsi="Segoe UI" w:cs="Segoe UI"/>
          <w:sz w:val="22"/>
          <w:szCs w:val="22"/>
        </w:rPr>
        <w:t>The recommendations being presented today, twenty years after the Bachar reform, continue the trend of increasing competition, this time focusing on households and small and medium</w:t>
      </w:r>
      <w:r>
        <w:rPr>
          <w:rFonts w:ascii="Segoe UI" w:hAnsi="Segoe UI" w:cs="Segoe UI"/>
          <w:sz w:val="22"/>
          <w:szCs w:val="22"/>
        </w:rPr>
        <w:t xml:space="preserve"> </w:t>
      </w:r>
      <w:r w:rsidR="00533055" w:rsidRPr="00533055">
        <w:rPr>
          <w:rFonts w:ascii="Segoe UI" w:hAnsi="Segoe UI" w:cs="Segoe UI"/>
          <w:sz w:val="22"/>
          <w:szCs w:val="22"/>
        </w:rPr>
        <w:t xml:space="preserve">enterprises. Lowering the cost of credit for these groups has the potential to create meaningful competition and reduce the price that households pay not only for credit, but for other financial services as well. I’d like to thank the Minister </w:t>
      </w:r>
      <w:r>
        <w:rPr>
          <w:rFonts w:ascii="Segoe UI" w:hAnsi="Segoe UI" w:cs="Segoe UI"/>
          <w:sz w:val="22"/>
          <w:szCs w:val="22"/>
        </w:rPr>
        <w:t xml:space="preserve">of Finance </w:t>
      </w:r>
      <w:r w:rsidR="00533055" w:rsidRPr="00533055">
        <w:rPr>
          <w:rFonts w:ascii="Segoe UI" w:hAnsi="Segoe UI" w:cs="Segoe UI"/>
          <w:sz w:val="22"/>
          <w:szCs w:val="22"/>
        </w:rPr>
        <w:t>for trusting me to lead this team, my fellow team members, and the Bank of Israel for our collaboration.”</w:t>
      </w:r>
    </w:p>
    <w:p w14:paraId="48893A2A" w14:textId="77777777" w:rsidR="00AA3764" w:rsidRDefault="00533055" w:rsidP="00AA3764">
      <w:pPr>
        <w:pStyle w:val="NormalWeb"/>
        <w:jc w:val="both"/>
        <w:rPr>
          <w:rFonts w:ascii="Segoe UI" w:hAnsi="Segoe UI" w:cs="Segoe UI"/>
          <w:sz w:val="22"/>
          <w:szCs w:val="22"/>
        </w:rPr>
      </w:pPr>
      <w:r>
        <w:rPr>
          <w:rFonts w:ascii="Segoe UI" w:hAnsi="Segoe UI" w:cs="Segoe UI"/>
          <w:sz w:val="22"/>
          <w:szCs w:val="22"/>
        </w:rPr>
        <w:t>Dan</w:t>
      </w:r>
      <w:r w:rsidR="00AA3764">
        <w:rPr>
          <w:rFonts w:ascii="Segoe UI" w:hAnsi="Segoe UI" w:cs="Segoe UI"/>
          <w:sz w:val="22"/>
          <w:szCs w:val="22"/>
        </w:rPr>
        <w:t>i</w:t>
      </w:r>
      <w:r>
        <w:rPr>
          <w:rFonts w:ascii="Segoe UI" w:hAnsi="Segoe UI" w:cs="Segoe UI"/>
          <w:sz w:val="22"/>
          <w:szCs w:val="22"/>
        </w:rPr>
        <w:t xml:space="preserve"> </w:t>
      </w:r>
      <w:proofErr w:type="spellStart"/>
      <w:r>
        <w:rPr>
          <w:rFonts w:ascii="Segoe UI" w:hAnsi="Segoe UI" w:cs="Segoe UI"/>
          <w:sz w:val="22"/>
          <w:szCs w:val="22"/>
        </w:rPr>
        <w:t>Hahi</w:t>
      </w:r>
      <w:r w:rsidRPr="00533055">
        <w:rPr>
          <w:rFonts w:ascii="Segoe UI" w:hAnsi="Segoe UI" w:cs="Segoe UI"/>
          <w:sz w:val="22"/>
          <w:szCs w:val="22"/>
        </w:rPr>
        <w:t>ashvili</w:t>
      </w:r>
      <w:proofErr w:type="spellEnd"/>
      <w:r w:rsidRPr="00533055">
        <w:rPr>
          <w:rFonts w:ascii="Segoe UI" w:hAnsi="Segoe UI" w:cs="Segoe UI"/>
          <w:sz w:val="22"/>
          <w:szCs w:val="22"/>
        </w:rPr>
        <w:t>, Supervisor of Banks at the Bank of Israel:</w:t>
      </w:r>
    </w:p>
    <w:p w14:paraId="5916651F" w14:textId="77777777" w:rsidR="00AA3764" w:rsidRDefault="00533055" w:rsidP="00AA3764">
      <w:pPr>
        <w:pStyle w:val="NormalWeb"/>
        <w:jc w:val="both"/>
        <w:rPr>
          <w:rFonts w:ascii="Segoe UI" w:hAnsi="Segoe UI" w:cs="Segoe UI"/>
          <w:sz w:val="22"/>
          <w:szCs w:val="22"/>
        </w:rPr>
      </w:pPr>
      <w:r w:rsidRPr="00533055">
        <w:rPr>
          <w:rFonts w:ascii="Segoe UI" w:hAnsi="Segoe UI" w:cs="Segoe UI"/>
          <w:sz w:val="22"/>
          <w:szCs w:val="22"/>
        </w:rPr>
        <w:t>“I welcome the publication of the committee’s recommendations, and I want to thank all the members for their professional work and for producing such a significant outcome for our economy. Our goal was to create a more competitive banking market, and this report reflects the consensus we reached among all committee members.</w:t>
      </w:r>
    </w:p>
    <w:p w14:paraId="03A62F7D" w14:textId="3452F559" w:rsidR="00AA3764" w:rsidRDefault="00AA3764" w:rsidP="00AA3764">
      <w:pPr>
        <w:pStyle w:val="NormalWeb"/>
        <w:jc w:val="both"/>
        <w:rPr>
          <w:rFonts w:ascii="Segoe UI" w:hAnsi="Segoe UI" w:cs="Segoe UI"/>
          <w:sz w:val="22"/>
          <w:szCs w:val="22"/>
        </w:rPr>
      </w:pPr>
      <w:r>
        <w:rPr>
          <w:rFonts w:ascii="Segoe UI" w:hAnsi="Segoe UI" w:cs="Segoe UI"/>
          <w:sz w:val="22"/>
          <w:szCs w:val="22"/>
        </w:rPr>
        <w:t>“</w:t>
      </w:r>
      <w:r w:rsidR="00533055" w:rsidRPr="00533055">
        <w:rPr>
          <w:rFonts w:ascii="Segoe UI" w:hAnsi="Segoe UI" w:cs="Segoe UI"/>
          <w:sz w:val="22"/>
          <w:szCs w:val="22"/>
        </w:rPr>
        <w:t>The team’s work focused on establishing the right foundation for increasing the number of p</w:t>
      </w:r>
      <w:r>
        <w:rPr>
          <w:rFonts w:ascii="Segoe UI" w:hAnsi="Segoe UI" w:cs="Segoe UI"/>
          <w:sz w:val="22"/>
          <w:szCs w:val="22"/>
        </w:rPr>
        <w:t>articipant</w:t>
      </w:r>
      <w:r w:rsidR="00533055" w:rsidRPr="00533055">
        <w:rPr>
          <w:rFonts w:ascii="Segoe UI" w:hAnsi="Segoe UI" w:cs="Segoe UI"/>
          <w:sz w:val="22"/>
          <w:szCs w:val="22"/>
        </w:rPr>
        <w:t>s in retail deposits and credit, while continuing to maintain system stability and public trust. This report builds on previous committees like the Strum Committee and the Bachar Committee, refining their recommendations by distinguishing between large and small banks.</w:t>
      </w:r>
    </w:p>
    <w:p w14:paraId="64517639" w14:textId="77777777" w:rsidR="00AA3764" w:rsidRDefault="00AA3764" w:rsidP="00AA3764">
      <w:pPr>
        <w:pStyle w:val="NormalWeb"/>
        <w:jc w:val="both"/>
        <w:rPr>
          <w:rFonts w:ascii="Segoe UI" w:hAnsi="Segoe UI" w:cs="Segoe UI"/>
          <w:sz w:val="22"/>
          <w:szCs w:val="22"/>
        </w:rPr>
      </w:pPr>
      <w:r>
        <w:rPr>
          <w:rFonts w:ascii="Segoe UI" w:hAnsi="Segoe UI" w:cs="Segoe UI"/>
          <w:sz w:val="22"/>
          <w:szCs w:val="22"/>
        </w:rPr>
        <w:t>“</w:t>
      </w:r>
      <w:r w:rsidR="00533055" w:rsidRPr="00533055">
        <w:rPr>
          <w:rFonts w:ascii="Segoe UI" w:hAnsi="Segoe UI" w:cs="Segoe UI"/>
          <w:sz w:val="22"/>
          <w:szCs w:val="22"/>
        </w:rPr>
        <w:t>Implementing these recommendations will lead to differential and proportional regulation in the banking sector, with three levels of supervision. This will let both domestic and international financial institutions enter the banking market.</w:t>
      </w:r>
    </w:p>
    <w:p w14:paraId="3E8B0E92" w14:textId="45799D09" w:rsidR="00533055" w:rsidRPr="00533055" w:rsidRDefault="00AA3764" w:rsidP="00AA3764">
      <w:pPr>
        <w:pStyle w:val="NormalWeb"/>
        <w:jc w:val="both"/>
        <w:rPr>
          <w:rFonts w:ascii="Segoe UI" w:hAnsi="Segoe UI" w:cs="Segoe UI"/>
          <w:sz w:val="22"/>
          <w:szCs w:val="22"/>
        </w:rPr>
      </w:pPr>
      <w:r>
        <w:rPr>
          <w:rFonts w:ascii="Segoe UI" w:hAnsi="Segoe UI" w:cs="Segoe UI"/>
          <w:sz w:val="22"/>
          <w:szCs w:val="22"/>
        </w:rPr>
        <w:t>“</w:t>
      </w:r>
      <w:r w:rsidR="00533055" w:rsidRPr="00533055">
        <w:rPr>
          <w:rFonts w:ascii="Segoe UI" w:hAnsi="Segoe UI" w:cs="Segoe UI"/>
          <w:sz w:val="22"/>
          <w:szCs w:val="22"/>
        </w:rPr>
        <w:t>I want to thank the Finance Minister and the Governor of the Bank of Israel for forming this committee and supporting our work, and I wish us all success in putting this model into action and promoting competition in the market.”</w:t>
      </w:r>
    </w:p>
    <w:p w14:paraId="58B12A03" w14:textId="5EA3BAEF" w:rsidR="00A2557F" w:rsidRPr="00533055" w:rsidRDefault="00A2557F" w:rsidP="00CB474B">
      <w:pPr>
        <w:pStyle w:val="regpar"/>
        <w:jc w:val="left"/>
        <w:rPr>
          <w:rFonts w:ascii="Segoe UI" w:hAnsi="Segoe UI" w:cs="Segoe UI"/>
        </w:rPr>
      </w:pPr>
    </w:p>
    <w:sectPr w:rsidR="00A2557F" w:rsidRPr="00533055"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2343D" w14:textId="77777777" w:rsidR="002630F2" w:rsidRDefault="002630F2">
      <w:pPr>
        <w:spacing w:line="240" w:lineRule="auto"/>
      </w:pPr>
      <w:r>
        <w:separator/>
      </w:r>
    </w:p>
  </w:endnote>
  <w:endnote w:type="continuationSeparator" w:id="0">
    <w:p w14:paraId="68BDC352" w14:textId="77777777" w:rsidR="002630F2" w:rsidRDefault="00263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24F4" w14:textId="77777777" w:rsidR="002630F2" w:rsidRDefault="002630F2">
      <w:pPr>
        <w:spacing w:line="160" w:lineRule="exact"/>
      </w:pPr>
    </w:p>
  </w:footnote>
  <w:footnote w:type="continuationSeparator" w:id="0">
    <w:p w14:paraId="1CF1725F" w14:textId="77777777" w:rsidR="002630F2" w:rsidRDefault="002630F2">
      <w:pPr>
        <w:pStyle w:val="rule"/>
      </w:pPr>
      <w:r>
        <w:t>–––––––––––––––––––––––––––</w:t>
      </w:r>
    </w:p>
    <w:p w14:paraId="75BD673F" w14:textId="77777777" w:rsidR="002630F2" w:rsidRDefault="002630F2">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701A2"/>
    <w:multiLevelType w:val="hybridMultilevel"/>
    <w:tmpl w:val="BB78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614E5"/>
    <w:rsid w:val="00066C5D"/>
    <w:rsid w:val="00067EAC"/>
    <w:rsid w:val="0007485B"/>
    <w:rsid w:val="00076856"/>
    <w:rsid w:val="00077915"/>
    <w:rsid w:val="00093619"/>
    <w:rsid w:val="00093A61"/>
    <w:rsid w:val="00094FFA"/>
    <w:rsid w:val="000A0AE8"/>
    <w:rsid w:val="000B2451"/>
    <w:rsid w:val="000B5143"/>
    <w:rsid w:val="000C1242"/>
    <w:rsid w:val="000D3201"/>
    <w:rsid w:val="000D3F79"/>
    <w:rsid w:val="000E08B9"/>
    <w:rsid w:val="000E2EB0"/>
    <w:rsid w:val="00104F58"/>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0F2"/>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4805"/>
    <w:rsid w:val="00327BCD"/>
    <w:rsid w:val="00333620"/>
    <w:rsid w:val="00333F56"/>
    <w:rsid w:val="003370E3"/>
    <w:rsid w:val="003445F3"/>
    <w:rsid w:val="00347069"/>
    <w:rsid w:val="00347EEC"/>
    <w:rsid w:val="00350413"/>
    <w:rsid w:val="003514AB"/>
    <w:rsid w:val="00354B0B"/>
    <w:rsid w:val="00354C47"/>
    <w:rsid w:val="00357E66"/>
    <w:rsid w:val="003605C6"/>
    <w:rsid w:val="00366DB8"/>
    <w:rsid w:val="00367A32"/>
    <w:rsid w:val="00376023"/>
    <w:rsid w:val="00376976"/>
    <w:rsid w:val="003814C4"/>
    <w:rsid w:val="0038232A"/>
    <w:rsid w:val="00392984"/>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3055"/>
    <w:rsid w:val="005332F6"/>
    <w:rsid w:val="00536575"/>
    <w:rsid w:val="0054053A"/>
    <w:rsid w:val="0054075A"/>
    <w:rsid w:val="005417D3"/>
    <w:rsid w:val="00543038"/>
    <w:rsid w:val="005504CF"/>
    <w:rsid w:val="0055658B"/>
    <w:rsid w:val="0056099E"/>
    <w:rsid w:val="00562B0B"/>
    <w:rsid w:val="005676E1"/>
    <w:rsid w:val="00572E97"/>
    <w:rsid w:val="00581AE6"/>
    <w:rsid w:val="00587D8E"/>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41FBE"/>
    <w:rsid w:val="00644EC6"/>
    <w:rsid w:val="0064598C"/>
    <w:rsid w:val="00650B9A"/>
    <w:rsid w:val="00653813"/>
    <w:rsid w:val="006540CC"/>
    <w:rsid w:val="0065491B"/>
    <w:rsid w:val="00655D2E"/>
    <w:rsid w:val="00660075"/>
    <w:rsid w:val="00663562"/>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521DD"/>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1B58"/>
    <w:rsid w:val="007D41E1"/>
    <w:rsid w:val="007E1A57"/>
    <w:rsid w:val="007E616F"/>
    <w:rsid w:val="007F0611"/>
    <w:rsid w:val="007F2CA6"/>
    <w:rsid w:val="007F423C"/>
    <w:rsid w:val="007F71A7"/>
    <w:rsid w:val="00801CA2"/>
    <w:rsid w:val="00802BFE"/>
    <w:rsid w:val="008052DA"/>
    <w:rsid w:val="00807431"/>
    <w:rsid w:val="00810763"/>
    <w:rsid w:val="00817D8A"/>
    <w:rsid w:val="00823DBF"/>
    <w:rsid w:val="00826845"/>
    <w:rsid w:val="00836D7A"/>
    <w:rsid w:val="00841E41"/>
    <w:rsid w:val="0084331E"/>
    <w:rsid w:val="00843E13"/>
    <w:rsid w:val="00843F4B"/>
    <w:rsid w:val="0084597D"/>
    <w:rsid w:val="00850D4E"/>
    <w:rsid w:val="00857394"/>
    <w:rsid w:val="008600E4"/>
    <w:rsid w:val="0086296B"/>
    <w:rsid w:val="008676DF"/>
    <w:rsid w:val="00867A1C"/>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1183"/>
    <w:rsid w:val="00943EFE"/>
    <w:rsid w:val="00946CAD"/>
    <w:rsid w:val="00970925"/>
    <w:rsid w:val="00987141"/>
    <w:rsid w:val="00991A2A"/>
    <w:rsid w:val="009937AE"/>
    <w:rsid w:val="009A2328"/>
    <w:rsid w:val="009A374A"/>
    <w:rsid w:val="009B01E1"/>
    <w:rsid w:val="009B5ABC"/>
    <w:rsid w:val="009C2CE3"/>
    <w:rsid w:val="009C49EC"/>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3764"/>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2CC"/>
    <w:rsid w:val="00D424D1"/>
    <w:rsid w:val="00D463F8"/>
    <w:rsid w:val="00D54F0D"/>
    <w:rsid w:val="00D56394"/>
    <w:rsid w:val="00D56CA9"/>
    <w:rsid w:val="00D56FEA"/>
    <w:rsid w:val="00D61443"/>
    <w:rsid w:val="00D621C1"/>
    <w:rsid w:val="00D776C6"/>
    <w:rsid w:val="00D77FC6"/>
    <w:rsid w:val="00D85592"/>
    <w:rsid w:val="00D866ED"/>
    <w:rsid w:val="00D907F6"/>
    <w:rsid w:val="00D93E87"/>
    <w:rsid w:val="00D94C50"/>
    <w:rsid w:val="00DA4139"/>
    <w:rsid w:val="00DA5C83"/>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D6E32"/>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semiHidden/>
    <w:rPr>
      <w:position w:val="6"/>
      <w:sz w:val="14"/>
      <w:szCs w:val="14"/>
    </w:rPr>
  </w:style>
  <w:style w:type="paragraph" w:styleId="a7">
    <w:name w:val="footnote text"/>
    <w:basedOn w:val="regpar"/>
    <w:link w:val="a8"/>
    <w:uiPriority w:val="99"/>
    <w:semiHidden/>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semiHidden/>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533055"/>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069768037">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C274D5E9-E54A-487E-AD9E-D0F98506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6564</Characters>
  <Application>Microsoft Office Word</Application>
  <DocSecurity>4</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2025-08-10T10:29:00Z</dcterms:created>
  <dcterms:modified xsi:type="dcterms:W3CDTF">2025-08-10T10:29:00Z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