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422F40">
              <w:rPr>
                <w:rFonts w:ascii="Calibri" w:hAnsi="Calibri" w:cs="Calibri"/>
                <w:noProof/>
                <w:rtl/>
              </w:rPr>
              <w:t>‏י"ח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422F40">
              <w:rPr>
                <w:rFonts w:ascii="Calibri" w:hAnsi="Calibri" w:cs="Calibri"/>
                <w:noProof/>
                <w:rtl/>
              </w:rPr>
              <w:t>‏18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765FCC" w:rsidRDefault="000346AA" w:rsidP="00765FCC">
      <w:pPr>
        <w:tabs>
          <w:tab w:val="left" w:pos="2315"/>
        </w:tabs>
        <w:jc w:val="center"/>
        <w:rPr>
          <w:rFonts w:ascii="Calibri" w:hAnsi="Calibri" w:cs="Calibri"/>
          <w:b/>
          <w:bCs/>
          <w:sz w:val="28"/>
          <w:szCs w:val="28"/>
          <w:rtl/>
        </w:rPr>
      </w:pPr>
      <w:r w:rsidRPr="000346AA">
        <w:rPr>
          <w:rFonts w:ascii="Calibri" w:hAnsi="Calibri" w:cs="Calibri" w:hint="cs"/>
          <w:b/>
          <w:bCs/>
          <w:sz w:val="28"/>
          <w:szCs w:val="28"/>
          <w:rtl/>
        </w:rPr>
        <w:t>תיבה מתוך דוח בנק ישראל לשנת 2024:</w:t>
      </w:r>
    </w:p>
    <w:p w:rsidR="006A183E" w:rsidRDefault="006A183E" w:rsidP="006A183E">
      <w:pPr>
        <w:spacing w:after="120" w:line="360" w:lineRule="auto"/>
        <w:jc w:val="center"/>
        <w:rPr>
          <w:rFonts w:cs="Calibri"/>
          <w:b/>
          <w:bCs/>
          <w:sz w:val="28"/>
          <w:szCs w:val="28"/>
          <w:rtl/>
        </w:rPr>
      </w:pPr>
      <w:bookmarkStart w:id="0" w:name="_GoBack"/>
      <w:r w:rsidRPr="006A183E">
        <w:rPr>
          <w:rFonts w:cs="Calibri"/>
          <w:b/>
          <w:bCs/>
          <w:sz w:val="28"/>
          <w:szCs w:val="28"/>
          <w:rtl/>
        </w:rPr>
        <w:t>השפעת האמברגו הטורקי על כלכלת ישראל</w:t>
      </w:r>
    </w:p>
    <w:bookmarkEnd w:id="0"/>
    <w:p w:rsidR="006A183E" w:rsidRPr="006A183E" w:rsidRDefault="006A183E" w:rsidP="006A183E">
      <w:pPr>
        <w:spacing w:after="120" w:line="360" w:lineRule="auto"/>
        <w:jc w:val="center"/>
        <w:rPr>
          <w:rFonts w:cs="Calibri"/>
          <w:b/>
          <w:bCs/>
          <w:sz w:val="28"/>
          <w:szCs w:val="28"/>
          <w:rtl/>
        </w:rPr>
      </w:pPr>
    </w:p>
    <w:p w:rsidR="006A183E" w:rsidRPr="0083356E" w:rsidRDefault="006A183E" w:rsidP="006A183E">
      <w:pPr>
        <w:pStyle w:val="a5"/>
        <w:numPr>
          <w:ilvl w:val="0"/>
          <w:numId w:val="34"/>
        </w:numPr>
        <w:spacing w:after="120" w:line="360" w:lineRule="auto"/>
        <w:jc w:val="both"/>
        <w:rPr>
          <w:rFonts w:cs="Calibri"/>
          <w:rtl/>
        </w:rPr>
      </w:pPr>
      <w:r w:rsidRPr="0083356E">
        <w:rPr>
          <w:rFonts w:cs="Calibri"/>
          <w:rtl/>
        </w:rPr>
        <w:t>תגובת השווקים לאמברגו שהטילה טורקיה על היצוא לישראל צמצמה את השפעתו על המשק הישראלי. האמברגו הקטין את היצוא הישראלי לטורקיה ב-2024 בכמיליארד דולרים בהשוואה לרמתו ב-2023.</w:t>
      </w:r>
    </w:p>
    <w:p w:rsidR="006A183E" w:rsidRDefault="006A183E" w:rsidP="006A183E">
      <w:pPr>
        <w:spacing w:after="120" w:line="360" w:lineRule="auto"/>
        <w:jc w:val="both"/>
        <w:rPr>
          <w:rFonts w:cs="Calibri"/>
          <w:rtl/>
        </w:rPr>
      </w:pPr>
      <w:r w:rsidRPr="0083356E">
        <w:rPr>
          <w:rFonts w:cs="Calibri"/>
          <w:rtl/>
        </w:rPr>
        <w:t xml:space="preserve">במהלך מלחמת "חרבות ברזל" הטילה טורקיה, החל </w:t>
      </w:r>
      <w:r>
        <w:rPr>
          <w:rFonts w:cs="Calibri" w:hint="cs"/>
          <w:rtl/>
        </w:rPr>
        <w:t>מ</w:t>
      </w:r>
      <w:r w:rsidRPr="0083356E">
        <w:rPr>
          <w:rFonts w:cs="Calibri"/>
          <w:rtl/>
        </w:rPr>
        <w:t>אפריל-מאי 2024, אמברגו על סחר עם ישראל. ניתוח זה מציג את ההשלכות המוגבלות של האמברגו הטורקי על הכלכלה הישראלית, ומתייחס אליהן  כאל מקרה בוחן לחשיבותה של פתיחות מסחרית ככלי להגנה מסנקציות</w:t>
      </w:r>
      <w:r>
        <w:rPr>
          <w:rFonts w:cs="Calibri" w:hint="cs"/>
          <w:rtl/>
        </w:rPr>
        <w:t xml:space="preserve"> בהיקף מוגבל</w:t>
      </w:r>
      <w:r w:rsidRPr="0083356E">
        <w:rPr>
          <w:rFonts w:cs="Calibri"/>
        </w:rPr>
        <w:t>.</w:t>
      </w:r>
    </w:p>
    <w:p w:rsidR="006A183E" w:rsidRPr="0083356E" w:rsidRDefault="006A183E" w:rsidP="006A183E">
      <w:pPr>
        <w:spacing w:after="120" w:line="360" w:lineRule="auto"/>
        <w:jc w:val="both"/>
        <w:rPr>
          <w:rFonts w:cs="Calibri"/>
          <w:rtl/>
        </w:rPr>
      </w:pPr>
    </w:p>
    <w:p w:rsidR="006A183E" w:rsidRPr="0083356E" w:rsidRDefault="006A183E" w:rsidP="006A183E">
      <w:pPr>
        <w:spacing w:after="120" w:line="360" w:lineRule="auto"/>
        <w:rPr>
          <w:rFonts w:cs="Calibri"/>
          <w:b/>
          <w:bCs/>
          <w:rtl/>
        </w:rPr>
      </w:pPr>
      <w:r w:rsidRPr="0083356E">
        <w:rPr>
          <w:rFonts w:cs="Calibri"/>
          <w:b/>
          <w:bCs/>
          <w:rtl/>
        </w:rPr>
        <w:t xml:space="preserve">הקשרים הכלכליים בין ישראל </w:t>
      </w:r>
      <w:r>
        <w:rPr>
          <w:rFonts w:cs="Calibri" w:hint="cs"/>
          <w:b/>
          <w:bCs/>
          <w:rtl/>
        </w:rPr>
        <w:t>ל</w:t>
      </w:r>
      <w:r w:rsidRPr="0083356E">
        <w:rPr>
          <w:rFonts w:cs="Calibri"/>
          <w:b/>
          <w:bCs/>
          <w:rtl/>
        </w:rPr>
        <w:t>טורקיה לפני הטלת האמברגו הטורקי</w:t>
      </w:r>
    </w:p>
    <w:p w:rsidR="006A183E" w:rsidRDefault="006A183E" w:rsidP="006A183E">
      <w:pPr>
        <w:spacing w:after="120" w:line="360" w:lineRule="auto"/>
        <w:jc w:val="both"/>
        <w:rPr>
          <w:rFonts w:cs="Calibri"/>
          <w:rtl/>
        </w:rPr>
      </w:pPr>
      <w:r w:rsidRPr="0083356E">
        <w:rPr>
          <w:rFonts w:cs="Calibri"/>
          <w:rtl/>
        </w:rPr>
        <w:t>בעשור וחצי האחרונים הייתה טורקיה מקור משמעותי ליבוא לישראל</w:t>
      </w:r>
      <w:r>
        <w:rPr>
          <w:rStyle w:val="af2"/>
          <w:rFonts w:cs="Calibri"/>
          <w:rtl/>
        </w:rPr>
        <w:footnoteReference w:id="1"/>
      </w:r>
      <w:r w:rsidRPr="0083356E">
        <w:rPr>
          <w:rFonts w:cs="Calibri"/>
          <w:rtl/>
        </w:rPr>
        <w:t xml:space="preserve">. ב-2023 עמד היקף יבוא </w:t>
      </w:r>
      <w:r>
        <w:rPr>
          <w:rFonts w:cs="Calibri" w:hint="cs"/>
          <w:rtl/>
        </w:rPr>
        <w:t>הסחורות מ</w:t>
      </w:r>
      <w:r w:rsidRPr="0083356E">
        <w:rPr>
          <w:rFonts w:cs="Calibri"/>
          <w:rtl/>
        </w:rPr>
        <w:t>תוצרת טורקית על כ-5.3 מיליארד דולרים, שהם כ-6.3 אחוזים מסך היבוא הישראלי</w:t>
      </w:r>
      <w:r>
        <w:rPr>
          <w:rStyle w:val="af2"/>
          <w:rFonts w:cs="Calibri"/>
          <w:rtl/>
        </w:rPr>
        <w:footnoteReference w:id="2"/>
      </w:r>
      <w:r w:rsidRPr="0083356E">
        <w:rPr>
          <w:rFonts w:cs="Calibri"/>
          <w:rtl/>
        </w:rPr>
        <w:t>. ערך היבוא שנרכש בטורקיה עמד על כ-4.6 מיליארד דולרים, וסחורות מתוצרת טורקיה בערך של לפחות 660 מיליו</w:t>
      </w:r>
      <w:r>
        <w:rPr>
          <w:rFonts w:cs="Calibri" w:hint="cs"/>
          <w:rtl/>
        </w:rPr>
        <w:t>ני</w:t>
      </w:r>
      <w:r w:rsidRPr="0083356E">
        <w:rPr>
          <w:rFonts w:cs="Calibri"/>
          <w:rtl/>
        </w:rPr>
        <w:t xml:space="preserve"> דולר</w:t>
      </w:r>
      <w:r>
        <w:rPr>
          <w:rFonts w:cs="Calibri" w:hint="cs"/>
          <w:rtl/>
        </w:rPr>
        <w:t>ים</w:t>
      </w:r>
      <w:r w:rsidRPr="0083356E">
        <w:rPr>
          <w:rFonts w:cs="Calibri"/>
          <w:rtl/>
        </w:rPr>
        <w:t xml:space="preserve"> נרכשו דרך משקים שלישיים. טורקיה הייתה עבור ישראל מקור חשוב ליבוא של תשומות לבנייה ולייצור: כמחצית מסך יבוא המלט</w:t>
      </w:r>
      <w:r>
        <w:rPr>
          <w:rFonts w:cs="Calibri" w:hint="cs"/>
          <w:rtl/>
        </w:rPr>
        <w:t>,</w:t>
      </w:r>
      <w:r w:rsidRPr="0083356E">
        <w:rPr>
          <w:rFonts w:cs="Calibri"/>
          <w:rtl/>
        </w:rPr>
        <w:t xml:space="preserve"> הגבס ומוצריהם וכחמישית מסך יבוא הברזל והפלדה היו מטורקיה. כן ייבאה ישראל מטורקיה, בהיקף נרחב, פלסט</w:t>
      </w:r>
      <w:r w:rsidRPr="0083356E">
        <w:rPr>
          <w:rFonts w:eastAsia="Arial" w:cs="Calibri"/>
          <w:rtl/>
        </w:rPr>
        <w:t xml:space="preserve">יק ומוצריו, כלי רכב, מכונות </w:t>
      </w:r>
      <w:r>
        <w:rPr>
          <w:rFonts w:eastAsia="Arial" w:cs="Calibri" w:hint="cs"/>
          <w:rtl/>
        </w:rPr>
        <w:t xml:space="preserve">ומיכון </w:t>
      </w:r>
      <w:r w:rsidRPr="0083356E">
        <w:rPr>
          <w:rFonts w:eastAsia="Arial" w:cs="Calibri"/>
          <w:rtl/>
        </w:rPr>
        <w:t xml:space="preserve">אלקטרוני </w:t>
      </w:r>
      <w:r w:rsidRPr="0083356E">
        <w:rPr>
          <w:rFonts w:cs="Calibri"/>
          <w:rtl/>
        </w:rPr>
        <w:t>(לוח 1 ואיור 1). טורקיה נהנתה גם מכ-824 אלף ביקורים של תיירים ישראלים ב-2022 (</w:t>
      </w:r>
      <w:proofErr w:type="spellStart"/>
      <w:r w:rsidRPr="0083356E">
        <w:rPr>
          <w:rFonts w:cs="Calibri"/>
          <w:rtl/>
        </w:rPr>
        <w:t>הלמ"ס</w:t>
      </w:r>
      <w:proofErr w:type="spellEnd"/>
      <w:r w:rsidRPr="0083356E">
        <w:rPr>
          <w:rFonts w:cs="Calibri"/>
          <w:rtl/>
        </w:rPr>
        <w:t xml:space="preserve"> הטורקית). </w:t>
      </w:r>
    </w:p>
    <w:p w:rsidR="006A183E" w:rsidRDefault="006A183E" w:rsidP="006A183E">
      <w:pPr>
        <w:spacing w:after="120" w:line="360" w:lineRule="auto"/>
        <w:jc w:val="center"/>
        <w:rPr>
          <w:rFonts w:cs="Calibri"/>
          <w:rtl/>
        </w:rPr>
      </w:pPr>
      <w:r>
        <w:rPr>
          <w:rFonts w:cs="Calibri"/>
          <w:noProof/>
        </w:rPr>
        <w:lastRenderedPageBreak/>
        <w:drawing>
          <wp:inline distT="0" distB="0" distL="0" distR="0" wp14:anchorId="5A3259DE" wp14:editId="58AE6D0B">
            <wp:extent cx="4549108" cy="3200400"/>
            <wp:effectExtent l="0" t="0" r="444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9664" cy="3214861"/>
                    </a:xfrm>
                    <a:prstGeom prst="rect">
                      <a:avLst/>
                    </a:prstGeom>
                    <a:noFill/>
                  </pic:spPr>
                </pic:pic>
              </a:graphicData>
            </a:graphic>
          </wp:inline>
        </w:drawing>
      </w:r>
    </w:p>
    <w:p w:rsidR="006A183E" w:rsidRDefault="006A183E" w:rsidP="006A183E">
      <w:pPr>
        <w:spacing w:after="120" w:line="360" w:lineRule="auto"/>
        <w:jc w:val="both"/>
        <w:rPr>
          <w:rFonts w:cs="Calibri"/>
          <w:rtl/>
        </w:rPr>
      </w:pPr>
      <w:r w:rsidRPr="0083356E">
        <w:rPr>
          <w:rFonts w:cs="Calibri"/>
          <w:rtl/>
        </w:rPr>
        <w:t xml:space="preserve">כנגד זאת, היצוא לטורקיה היה מוגבל בהיקפו, ועמד בשנת </w:t>
      </w:r>
      <w:r w:rsidRPr="0083356E">
        <w:rPr>
          <w:rFonts w:cs="Calibri"/>
        </w:rPr>
        <w:t>2023</w:t>
      </w:r>
      <w:r w:rsidRPr="0083356E">
        <w:rPr>
          <w:rFonts w:cs="Calibri"/>
          <w:rtl/>
        </w:rPr>
        <w:t xml:space="preserve"> על כ-</w:t>
      </w:r>
      <w:r w:rsidRPr="0083356E">
        <w:rPr>
          <w:rFonts w:cs="Calibri"/>
        </w:rPr>
        <w:t>1.5</w:t>
      </w:r>
      <w:r w:rsidRPr="0083356E">
        <w:rPr>
          <w:rFonts w:cs="Calibri"/>
          <w:rtl/>
        </w:rPr>
        <w:t xml:space="preserve"> מיליארד</w:t>
      </w:r>
      <w:r>
        <w:rPr>
          <w:rFonts w:cs="Calibri" w:hint="cs"/>
          <w:rtl/>
        </w:rPr>
        <w:t>י</w:t>
      </w:r>
      <w:r w:rsidRPr="0083356E">
        <w:rPr>
          <w:rFonts w:cs="Calibri"/>
          <w:rtl/>
        </w:rPr>
        <w:t xml:space="preserve"> דולרים, שהם כ-</w:t>
      </w:r>
      <w:r w:rsidRPr="0083356E">
        <w:rPr>
          <w:rFonts w:cs="Calibri"/>
        </w:rPr>
        <w:t>2.5</w:t>
      </w:r>
      <w:r w:rsidRPr="0083356E">
        <w:rPr>
          <w:rFonts w:cs="Calibri"/>
          <w:rtl/>
        </w:rPr>
        <w:t xml:space="preserve"> אחוזים בלבד מסך יצוא הסחורות הישראלי. מוצרי היצוא העיקריים לטורקיה היו מוצרים כימיים, פלסטיק </w:t>
      </w:r>
      <w:r w:rsidRPr="00025F02">
        <w:rPr>
          <w:rFonts w:cs="Calibri"/>
          <w:rtl/>
        </w:rPr>
        <w:t xml:space="preserve">ומוצריו, וגרוטאות מתכת ופלדה (לוח </w:t>
      </w:r>
      <w:r w:rsidRPr="00025F02">
        <w:rPr>
          <w:rFonts w:cs="Calibri"/>
        </w:rPr>
        <w:t>1</w:t>
      </w:r>
      <w:r w:rsidRPr="00025F02">
        <w:rPr>
          <w:rFonts w:cs="Calibri"/>
          <w:rtl/>
        </w:rPr>
        <w:t xml:space="preserve">). יצוא השירותים </w:t>
      </w:r>
      <w:r w:rsidRPr="0083356E">
        <w:rPr>
          <w:rFonts w:cs="Calibri"/>
          <w:rtl/>
        </w:rPr>
        <w:t xml:space="preserve">העסקיים לטורקיה ומספר התיירים מטורקיה </w:t>
      </w:r>
      <w:r>
        <w:rPr>
          <w:rFonts w:cs="Calibri" w:hint="cs"/>
          <w:rtl/>
        </w:rPr>
        <w:t>היו זניחים</w:t>
      </w:r>
      <w:r w:rsidRPr="0083356E">
        <w:rPr>
          <w:rFonts w:cs="Calibri"/>
          <w:rtl/>
        </w:rPr>
        <w:t>. לישראל היה אפוא גירעון ניכר בסחר הסחורות והשירותים עם טורקיה, ומשום כך פגיעתה הפוטנציאלית של מדיניות האמברגו הטורקית התבטאה בעיקר בצמצום היצע המוצרים והסחורות במשק הישראלי.</w:t>
      </w:r>
    </w:p>
    <w:p w:rsidR="006A183E" w:rsidRPr="003F5831" w:rsidRDefault="006A183E" w:rsidP="006A183E">
      <w:pPr>
        <w:spacing w:after="120" w:line="360" w:lineRule="auto"/>
        <w:jc w:val="both"/>
        <w:rPr>
          <w:rFonts w:cs="Calibri"/>
          <w:rtl/>
        </w:rPr>
      </w:pPr>
      <w:r w:rsidRPr="003F5831">
        <w:rPr>
          <w:noProof/>
          <w:rtl/>
        </w:rPr>
        <w:lastRenderedPageBreak/>
        <w:drawing>
          <wp:inline distT="0" distB="0" distL="0" distR="0" wp14:anchorId="369A1F34" wp14:editId="51ABF06C">
            <wp:extent cx="5361713" cy="6139639"/>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784" cy="6140865"/>
                    </a:xfrm>
                    <a:prstGeom prst="rect">
                      <a:avLst/>
                    </a:prstGeom>
                    <a:noFill/>
                    <a:ln>
                      <a:noFill/>
                    </a:ln>
                  </pic:spPr>
                </pic:pic>
              </a:graphicData>
            </a:graphic>
          </wp:inline>
        </w:drawing>
      </w:r>
    </w:p>
    <w:p w:rsidR="006A183E" w:rsidRDefault="006A183E" w:rsidP="006A183E">
      <w:pPr>
        <w:tabs>
          <w:tab w:val="left" w:pos="3254"/>
        </w:tabs>
        <w:spacing w:after="120" w:line="360" w:lineRule="auto"/>
        <w:rPr>
          <w:rFonts w:cs="Calibri"/>
          <w:b/>
          <w:bCs/>
          <w:rtl/>
        </w:rPr>
      </w:pPr>
    </w:p>
    <w:p w:rsidR="006A183E" w:rsidRPr="0083356E" w:rsidRDefault="006A183E" w:rsidP="006A183E">
      <w:pPr>
        <w:tabs>
          <w:tab w:val="left" w:pos="3254"/>
        </w:tabs>
        <w:spacing w:after="120" w:line="360" w:lineRule="auto"/>
        <w:rPr>
          <w:rFonts w:cs="Calibri"/>
          <w:b/>
          <w:bCs/>
          <w:rtl/>
        </w:rPr>
      </w:pPr>
      <w:r w:rsidRPr="0083356E">
        <w:rPr>
          <w:rFonts w:cs="Calibri"/>
          <w:b/>
          <w:bCs/>
          <w:rtl/>
        </w:rPr>
        <w:t>מדיניות האמברגו הטורקית והשפעתה על המשק הישראלי</w:t>
      </w:r>
      <w:r w:rsidRPr="0083356E">
        <w:rPr>
          <w:rFonts w:cs="Calibri"/>
          <w:b/>
          <w:bCs/>
          <w:rtl/>
        </w:rPr>
        <w:tab/>
      </w:r>
    </w:p>
    <w:p w:rsidR="006A183E" w:rsidRPr="0083356E" w:rsidRDefault="006A183E" w:rsidP="006A183E">
      <w:pPr>
        <w:spacing w:after="120" w:line="360" w:lineRule="auto"/>
        <w:jc w:val="both"/>
        <w:rPr>
          <w:rFonts w:cs="Calibri"/>
          <w:rtl/>
        </w:rPr>
      </w:pPr>
      <w:r w:rsidRPr="0083356E">
        <w:rPr>
          <w:rFonts w:cs="Calibri"/>
          <w:rtl/>
        </w:rPr>
        <w:t>הסחר הישראלי-טורקי נמשך בשלהי 2023 וברביע הראשון של 2024, למרות ההידרדרות ביחסים המדיניים בין המדינות, שבאה לידי ביטוי בהפסקת הטיסות הישירות ביניהן ובהתכווצות התיירות הישראלית בטורקיה בשלהי 2023 וב-2024</w:t>
      </w:r>
      <w:r>
        <w:rPr>
          <w:rStyle w:val="af2"/>
          <w:rFonts w:cs="Calibri"/>
          <w:rtl/>
        </w:rPr>
        <w:footnoteReference w:id="3"/>
      </w:r>
      <w:r w:rsidRPr="0083356E">
        <w:rPr>
          <w:rFonts w:cs="Calibri"/>
          <w:rtl/>
        </w:rPr>
        <w:t>. באפריל 2024 ה</w:t>
      </w:r>
      <w:r>
        <w:rPr>
          <w:rFonts w:cs="Calibri" w:hint="cs"/>
          <w:rtl/>
        </w:rPr>
        <w:t>כריזה</w:t>
      </w:r>
      <w:r w:rsidRPr="0083356E">
        <w:rPr>
          <w:rFonts w:cs="Calibri"/>
          <w:rtl/>
        </w:rPr>
        <w:t xml:space="preserve"> טורקיה על איסור יצוא לישראל של 54 סחורות, רובן תשומות לבניה ולייצור, כמלט ומוצריו ומוצרי מתכת ופלדה. מראשית </w:t>
      </w:r>
      <w:r w:rsidRPr="0083356E">
        <w:rPr>
          <w:rFonts w:cs="Calibri"/>
          <w:rtl/>
        </w:rPr>
        <w:lastRenderedPageBreak/>
        <w:t>מאי 2024 אסרה טורקיה על סחר כלשהו עם ישראל. בתגובה לאמברגו הטורקי פעלה ישראל כדי לסייע ליצואנים וליבואנים הישראלים לאתר שותפי סחר חליפיים ולהקל על הליכי היבוא.</w:t>
      </w:r>
    </w:p>
    <w:p w:rsidR="006A183E" w:rsidRDefault="006A183E" w:rsidP="006A183E">
      <w:pPr>
        <w:spacing w:after="120" w:line="360" w:lineRule="auto"/>
        <w:jc w:val="both"/>
        <w:rPr>
          <w:rFonts w:cs="Calibri"/>
          <w:rtl/>
        </w:rPr>
      </w:pPr>
      <w:r w:rsidRPr="0083356E">
        <w:rPr>
          <w:rFonts w:cs="Calibri"/>
          <w:rtl/>
        </w:rPr>
        <w:t xml:space="preserve">בעקבות הטלת האמברגו הופסק היצוא הישראלי לטורקיה החל ממאי 2024, ובכך פחת היצוא הישראלי אליה ב-2024 בכמיליארד דולרים  בהשוואה ל-2023. הפסקת היצוא לטורקיה תרמה לירידה הכוללת של יצוא מוצרי הכימיה במהלך 2024, ואילו השפעתה  על ענפים אחרים הייתה שולית. </w:t>
      </w:r>
      <w:r>
        <w:rPr>
          <w:rFonts w:cs="Calibri" w:hint="cs"/>
          <w:rtl/>
        </w:rPr>
        <w:t xml:space="preserve">בעקבות הטלת האמברגו ירד </w:t>
      </w:r>
      <w:r w:rsidRPr="0083356E">
        <w:rPr>
          <w:rFonts w:cs="Calibri"/>
          <w:rtl/>
        </w:rPr>
        <w:t>היקף היבוא של תוצרת טורקית מכ-550 מיליוני דולרים בחודש ב</w:t>
      </w:r>
      <w:r>
        <w:rPr>
          <w:rFonts w:cs="Calibri" w:hint="cs"/>
          <w:rtl/>
        </w:rPr>
        <w:t>תחילת</w:t>
      </w:r>
      <w:r w:rsidRPr="0083356E">
        <w:rPr>
          <w:rFonts w:cs="Calibri"/>
          <w:rtl/>
        </w:rPr>
        <w:t xml:space="preserve"> שנת 2024 לכ-100–200 מיליונים בחודש בסופה</w:t>
      </w:r>
      <w:r>
        <w:rPr>
          <w:rFonts w:cs="Calibri" w:hint="cs"/>
          <w:rtl/>
        </w:rPr>
        <w:t xml:space="preserve"> ו</w:t>
      </w:r>
      <w:r w:rsidRPr="0083356E">
        <w:rPr>
          <w:rFonts w:cs="Calibri"/>
          <w:rtl/>
        </w:rPr>
        <w:t>הירידה ניכר</w:t>
      </w:r>
      <w:r>
        <w:rPr>
          <w:rFonts w:cs="Calibri" w:hint="cs"/>
          <w:rtl/>
        </w:rPr>
        <w:t>ת</w:t>
      </w:r>
      <w:r w:rsidRPr="0083356E">
        <w:rPr>
          <w:rFonts w:cs="Calibri"/>
          <w:rtl/>
        </w:rPr>
        <w:t xml:space="preserve"> ברוב הקטגוריות של המוצרים העיקריים (לוח 1 ואיור 1).</w:t>
      </w:r>
      <w:r>
        <w:rPr>
          <w:rFonts w:cs="Calibri" w:hint="cs"/>
          <w:rtl/>
        </w:rPr>
        <w:t xml:space="preserve"> </w:t>
      </w:r>
      <w:r w:rsidRPr="0083356E">
        <w:rPr>
          <w:rFonts w:cs="Calibri"/>
          <w:rtl/>
        </w:rPr>
        <w:t xml:space="preserve">הנתונים הטורקיים </w:t>
      </w:r>
      <w:r>
        <w:rPr>
          <w:rFonts w:cs="Calibri" w:hint="cs"/>
          <w:rtl/>
        </w:rPr>
        <w:t xml:space="preserve">אף מצביעים </w:t>
      </w:r>
      <w:r w:rsidRPr="0083356E">
        <w:rPr>
          <w:rFonts w:cs="Calibri"/>
          <w:rtl/>
        </w:rPr>
        <w:t xml:space="preserve">על עצירה מוחלטת של היצוא לישראל, בהתאם למדיניות הטורקית. (השוו הקו האדום והקו כחול באיור 1.) </w:t>
      </w:r>
    </w:p>
    <w:p w:rsidR="006A183E" w:rsidRPr="0083356E" w:rsidRDefault="006A183E" w:rsidP="006A183E">
      <w:pPr>
        <w:spacing w:after="120" w:line="360" w:lineRule="auto"/>
        <w:jc w:val="both"/>
        <w:rPr>
          <w:rFonts w:cs="Calibri"/>
          <w:rtl/>
        </w:rPr>
      </w:pPr>
      <w:r w:rsidRPr="0083356E">
        <w:rPr>
          <w:rFonts w:cs="Calibri"/>
          <w:rtl/>
        </w:rPr>
        <w:t xml:space="preserve">ההסבר העיקרי לפער בין הנתונים הישראליים לנתונים הטורקיים הוא סחר דרך משקים שלישיים, לרבות יצוא טורקי לרשות הפלסטינית, שהיא חלק מאזור המכס הישראלי (שורות 3 ו-4 בלוח 1 והקו השחור באיור 1). היצוא הטורקי לרשות הפלסטינית החל לרדת באוקטובר-נובמבר בעקבות דרישה טורקית לקבל אסמכתא של הרשות הפלסטינית שהוא אכן מגיע לשוק הפלסטיני. גם האפקטיביות של צעד זה הייתה חלקית: בעקבותיו היבוא של סחורות טורקיות לישראל אמנם ירד ברביע האחרון של 2024, אך לא הופסק. </w:t>
      </w:r>
    </w:p>
    <w:p w:rsidR="006A183E" w:rsidRPr="0083356E" w:rsidRDefault="006A183E" w:rsidP="006A183E">
      <w:pPr>
        <w:spacing w:after="120" w:line="360" w:lineRule="auto"/>
        <w:jc w:val="both"/>
        <w:rPr>
          <w:rFonts w:cs="Calibri"/>
          <w:rtl/>
        </w:rPr>
      </w:pPr>
      <w:r w:rsidRPr="0083356E">
        <w:rPr>
          <w:rFonts w:cs="Calibri"/>
          <w:rtl/>
        </w:rPr>
        <w:t>האמברגו היה צפוי להביא לעליית מחירי היבוא של מוצרים טורקיים שיובאו בדרכים עקיפות ושל תחליפים למוצרים הטורקיים. מחירי היבוא (בדולרים) של תשומות לייצור, שבהן התמקד היבוא מטורקיה, ומחירי חומרי הבנייה (בשקלים) במדד תשומות הבנייה למגורים אמנם עלו, אך היקף העלייה קטן (0.6–0.7 נקודת אחוז). עליות מחירים צנועות אלו נבלעו בירידות המחירים של סחורות יבוא אחרות, והמדד לכלל מחירי היבוא אף ירד במתינות ברביע השלישי (לוח 1 פאנל ב').</w:t>
      </w:r>
    </w:p>
    <w:p w:rsidR="006A183E" w:rsidRPr="009D4358" w:rsidRDefault="006A183E" w:rsidP="006A183E">
      <w:pPr>
        <w:spacing w:after="120" w:line="360" w:lineRule="auto"/>
        <w:jc w:val="both"/>
        <w:rPr>
          <w:rFonts w:eastAsia="Times New Roman" w:cs="Calibri"/>
          <w:color w:val="000000"/>
          <w:rtl/>
        </w:rPr>
      </w:pPr>
      <w:r w:rsidRPr="0083356E">
        <w:rPr>
          <w:rFonts w:cs="Calibri"/>
          <w:rtl/>
        </w:rPr>
        <w:t>טורקיה ייחדה תשומת לב מיוחדת ליצוא תשומות לבנייה לישראל ואסרה על מכירת</w:t>
      </w:r>
      <w:r>
        <w:rPr>
          <w:rFonts w:cs="Calibri" w:hint="cs"/>
          <w:rtl/>
        </w:rPr>
        <w:t>ן</w:t>
      </w:r>
      <w:r w:rsidRPr="0083356E">
        <w:rPr>
          <w:rFonts w:cs="Calibri"/>
          <w:rtl/>
        </w:rPr>
        <w:t xml:space="preserve"> לישראל עוד באפריל 2024. אמנם יבוא של מוצרים מאבן ומלט ומוצרי מתכות מטורקיה נמשך גם לאחר הטלת האמברגו (לוח 1 שורות 5 ו-6), אולם יבוא המלט מטורקיה הופסק לחלוטין. האיסור על מכירת מלט לישראל נתפס כרגיש במיוחד, משום שכ-</w:t>
      </w:r>
      <w:r>
        <w:rPr>
          <w:rFonts w:cs="Calibri" w:hint="cs"/>
          <w:rtl/>
        </w:rPr>
        <w:t>45</w:t>
      </w:r>
      <w:r w:rsidRPr="0083356E">
        <w:rPr>
          <w:rFonts w:cs="Calibri"/>
          <w:rtl/>
        </w:rPr>
        <w:t xml:space="preserve"> אחוזים</w:t>
      </w:r>
      <w:r w:rsidRPr="0083356E">
        <w:rPr>
          <w:rFonts w:cs="Calibri"/>
        </w:rPr>
        <w:t xml:space="preserve"> </w:t>
      </w:r>
      <w:r w:rsidRPr="0083356E">
        <w:rPr>
          <w:rFonts w:cs="Calibri"/>
          <w:rtl/>
        </w:rPr>
        <w:t>מהמלט המשמש בארץ</w:t>
      </w:r>
      <w:r>
        <w:rPr>
          <w:rFonts w:cs="Calibri" w:hint="cs"/>
          <w:rtl/>
        </w:rPr>
        <w:t xml:space="preserve"> יובא מטורקיה</w:t>
      </w:r>
      <w:r>
        <w:rPr>
          <w:rStyle w:val="af2"/>
          <w:rFonts w:cs="Calibri"/>
          <w:rtl/>
        </w:rPr>
        <w:footnoteReference w:id="4"/>
      </w:r>
      <w:r w:rsidRPr="0083356E">
        <w:rPr>
          <w:rFonts w:cs="Calibri"/>
          <w:rtl/>
        </w:rPr>
        <w:t xml:space="preserve">. אולם ישראל מצאה מקורות חליפיים ליבוא מלט, וכך הכמות והערך של יבוא המלט אף גדלו במחצית השנייה של השנה, לאחר </w:t>
      </w:r>
      <w:r>
        <w:rPr>
          <w:rFonts w:cs="Calibri" w:hint="cs"/>
          <w:rtl/>
        </w:rPr>
        <w:t>שירדו</w:t>
      </w:r>
      <w:r w:rsidRPr="0083356E">
        <w:rPr>
          <w:rFonts w:cs="Calibri"/>
          <w:rtl/>
        </w:rPr>
        <w:t xml:space="preserve"> במחצית הראשונה של 2024 בגלל ההאטה בפעילות ענף הבינוי. למרות החלפת מקורות היבוא </w:t>
      </w:r>
      <w:r>
        <w:rPr>
          <w:rFonts w:cs="Calibri" w:hint="cs"/>
          <w:rtl/>
        </w:rPr>
        <w:t xml:space="preserve">שלעיתים מלווה בגידול בעלויות היבוא </w:t>
      </w:r>
      <w:r w:rsidRPr="0083356E">
        <w:rPr>
          <w:rFonts w:cs="Calibri"/>
          <w:rtl/>
        </w:rPr>
        <w:t>לא ניכרת עלייה במחירי המלט ובמדד מחירי תשומות הבנייה למגורים (לוח 1 פאנל ג'). גידול יבוא המלט ללא עליית מחיריו ממחיש את האפקטיביות המוגבלת של האמברגו שהטילה על ישראל.</w:t>
      </w:r>
      <w:r>
        <w:rPr>
          <w:rFonts w:eastAsia="Times New Roman" w:cs="Calibri" w:hint="cs"/>
          <w:b/>
          <w:bCs/>
          <w:color w:val="000000"/>
          <w:sz w:val="24"/>
          <w:szCs w:val="24"/>
          <w:rtl/>
        </w:rPr>
        <w:t xml:space="preserve"> </w:t>
      </w:r>
      <w:r>
        <w:rPr>
          <w:rFonts w:eastAsia="Times New Roman" w:cs="Calibri" w:hint="cs"/>
          <w:color w:val="000000"/>
          <w:rtl/>
        </w:rPr>
        <w:t>במסקנה זו תומכת גם העובדה</w:t>
      </w:r>
      <w:r w:rsidRPr="009D4358">
        <w:rPr>
          <w:rFonts w:eastAsia="Times New Roman" w:cs="Calibri"/>
          <w:color w:val="000000"/>
          <w:rtl/>
        </w:rPr>
        <w:t xml:space="preserve"> </w:t>
      </w:r>
      <w:r>
        <w:rPr>
          <w:rFonts w:eastAsia="Times New Roman" w:cs="Calibri" w:hint="cs"/>
          <w:color w:val="000000"/>
          <w:rtl/>
        </w:rPr>
        <w:t>ש</w:t>
      </w:r>
      <w:r w:rsidRPr="009D4358">
        <w:rPr>
          <w:rFonts w:eastAsia="Times New Roman" w:cs="Calibri"/>
          <w:color w:val="000000"/>
          <w:rtl/>
        </w:rPr>
        <w:t xml:space="preserve">במרבית קטגוריות המוצרים </w:t>
      </w:r>
      <w:r>
        <w:rPr>
          <w:rFonts w:eastAsia="Times New Roman" w:cs="Calibri" w:hint="cs"/>
          <w:color w:val="000000"/>
          <w:rtl/>
        </w:rPr>
        <w:t xml:space="preserve">אשר </w:t>
      </w:r>
      <w:r w:rsidRPr="009D4358">
        <w:rPr>
          <w:rFonts w:eastAsia="Times New Roman" w:cs="Calibri"/>
          <w:color w:val="000000"/>
          <w:rtl/>
        </w:rPr>
        <w:t>בהם היה ל</w:t>
      </w:r>
      <w:r>
        <w:rPr>
          <w:rFonts w:eastAsia="Times New Roman" w:cs="Calibri" w:hint="cs"/>
          <w:color w:val="000000"/>
          <w:rtl/>
        </w:rPr>
        <w:t>יבוא מ</w:t>
      </w:r>
      <w:r w:rsidRPr="009D4358">
        <w:rPr>
          <w:rFonts w:eastAsia="Times New Roman" w:cs="Calibri"/>
          <w:color w:val="000000"/>
          <w:rtl/>
        </w:rPr>
        <w:t>טורקיה נתח שוק משמעותי בישראל</w:t>
      </w:r>
      <w:r>
        <w:rPr>
          <w:rFonts w:eastAsia="Times New Roman" w:cs="Calibri" w:hint="cs"/>
          <w:color w:val="000000"/>
          <w:rtl/>
        </w:rPr>
        <w:t xml:space="preserve"> </w:t>
      </w:r>
      <w:r w:rsidRPr="009D4358">
        <w:rPr>
          <w:rFonts w:eastAsia="Times New Roman" w:cs="Calibri"/>
          <w:color w:val="000000"/>
          <w:rtl/>
        </w:rPr>
        <w:t>סך ערך היבוא (מכלל המדינות) לא ירד לאחר הטלת האמברגו.</w:t>
      </w:r>
    </w:p>
    <w:p w:rsidR="006A183E" w:rsidRDefault="006A183E" w:rsidP="006A183E">
      <w:pPr>
        <w:spacing w:after="120" w:line="360" w:lineRule="auto"/>
        <w:jc w:val="both"/>
        <w:rPr>
          <w:rFonts w:eastAsia="Arial" w:cs="Calibri"/>
          <w:b/>
          <w:bCs/>
          <w:color w:val="000000"/>
          <w:kern w:val="24"/>
          <w:rtl/>
        </w:rPr>
      </w:pPr>
    </w:p>
    <w:p w:rsidR="006A183E" w:rsidRDefault="006A183E" w:rsidP="006A183E">
      <w:pPr>
        <w:spacing w:after="120" w:line="360" w:lineRule="auto"/>
        <w:jc w:val="both"/>
        <w:rPr>
          <w:rFonts w:eastAsia="Arial" w:cs="Calibri"/>
          <w:b/>
          <w:bCs/>
          <w:color w:val="000000"/>
          <w:kern w:val="24"/>
          <w:rtl/>
        </w:rPr>
      </w:pPr>
    </w:p>
    <w:p w:rsidR="006A183E" w:rsidRPr="0083356E" w:rsidRDefault="006A183E" w:rsidP="006A183E">
      <w:pPr>
        <w:spacing w:after="120" w:line="360" w:lineRule="auto"/>
        <w:jc w:val="both"/>
        <w:rPr>
          <w:rFonts w:eastAsia="Arial" w:cs="Calibri"/>
          <w:b/>
          <w:bCs/>
          <w:color w:val="000000"/>
          <w:kern w:val="24"/>
          <w:rtl/>
        </w:rPr>
      </w:pPr>
      <w:r w:rsidRPr="0083356E">
        <w:rPr>
          <w:rFonts w:eastAsia="Arial" w:cs="Calibri"/>
          <w:b/>
          <w:bCs/>
          <w:color w:val="000000"/>
          <w:kern w:val="24"/>
          <w:rtl/>
        </w:rPr>
        <w:lastRenderedPageBreak/>
        <w:t>מסקנות</w:t>
      </w:r>
    </w:p>
    <w:p w:rsidR="006A183E" w:rsidRPr="0083356E" w:rsidRDefault="006A183E" w:rsidP="006A183E">
      <w:pPr>
        <w:spacing w:after="120" w:line="360" w:lineRule="auto"/>
        <w:jc w:val="both"/>
        <w:rPr>
          <w:rFonts w:eastAsia="Arial" w:cs="Calibri"/>
          <w:color w:val="000000"/>
          <w:kern w:val="24"/>
          <w:rtl/>
        </w:rPr>
      </w:pPr>
      <w:r>
        <w:rPr>
          <w:rFonts w:eastAsia="Arial" w:cs="Calibri" w:hint="cs"/>
          <w:color w:val="000000"/>
          <w:rtl/>
        </w:rPr>
        <w:t>ה</w:t>
      </w:r>
      <w:r w:rsidRPr="0083356E">
        <w:rPr>
          <w:rFonts w:eastAsia="Arial" w:cs="Calibri"/>
          <w:color w:val="000000"/>
          <w:rtl/>
        </w:rPr>
        <w:t>השפע</w:t>
      </w:r>
      <w:r>
        <w:rPr>
          <w:rFonts w:eastAsia="Arial" w:cs="Calibri" w:hint="cs"/>
          <w:color w:val="000000"/>
          <w:rtl/>
        </w:rPr>
        <w:t>ה</w:t>
      </w:r>
      <w:r w:rsidRPr="0083356E">
        <w:rPr>
          <w:rFonts w:eastAsia="Arial" w:cs="Calibri"/>
          <w:color w:val="000000"/>
          <w:rtl/>
        </w:rPr>
        <w:t xml:space="preserve"> </w:t>
      </w:r>
      <w:r>
        <w:rPr>
          <w:rFonts w:eastAsia="Arial" w:cs="Calibri" w:hint="cs"/>
          <w:color w:val="000000"/>
          <w:rtl/>
        </w:rPr>
        <w:t xml:space="preserve">של </w:t>
      </w:r>
      <w:r w:rsidRPr="0083356E">
        <w:rPr>
          <w:rFonts w:eastAsia="Arial" w:cs="Calibri"/>
          <w:color w:val="000000"/>
          <w:rtl/>
        </w:rPr>
        <w:t xml:space="preserve">האמברגו </w:t>
      </w:r>
      <w:r>
        <w:rPr>
          <w:rFonts w:eastAsia="Arial" w:cs="Calibri" w:hint="cs"/>
          <w:color w:val="000000"/>
          <w:rtl/>
        </w:rPr>
        <w:t xml:space="preserve">הטורקי </w:t>
      </w:r>
      <w:r w:rsidRPr="0083356E">
        <w:rPr>
          <w:rFonts w:eastAsia="Arial" w:cs="Calibri"/>
          <w:color w:val="000000"/>
          <w:rtl/>
        </w:rPr>
        <w:t xml:space="preserve">על היבוא ועל מחירי היבוא לישראל </w:t>
      </w:r>
      <w:r>
        <w:rPr>
          <w:rFonts w:eastAsia="Arial" w:cs="Calibri" w:hint="cs"/>
          <w:color w:val="000000"/>
          <w:rtl/>
        </w:rPr>
        <w:t xml:space="preserve">הייתה מוגבלת. היא </w:t>
      </w:r>
      <w:r w:rsidRPr="0083356E">
        <w:rPr>
          <w:rFonts w:eastAsia="Arial" w:cs="Calibri"/>
          <w:color w:val="000000"/>
          <w:rtl/>
        </w:rPr>
        <w:t xml:space="preserve">ממחישה את חשיבותם של שווקים מתפקדים ומדיניות סחר ליברלית ליצירת ביטחון כלכלי, וכן את הקושי </w:t>
      </w:r>
      <w:r>
        <w:rPr>
          <w:rFonts w:eastAsia="Arial" w:cs="Calibri" w:hint="cs"/>
          <w:color w:val="000000"/>
          <w:rtl/>
        </w:rPr>
        <w:t xml:space="preserve">של מדינות בודדות </w:t>
      </w:r>
      <w:r w:rsidRPr="0083356E">
        <w:rPr>
          <w:rFonts w:eastAsia="Arial" w:cs="Calibri"/>
          <w:color w:val="000000"/>
          <w:rtl/>
        </w:rPr>
        <w:t>להשתמש במגבלות סחר על מוצרים סחירים בני תחלופה</w:t>
      </w:r>
      <w:r>
        <w:rPr>
          <w:rFonts w:eastAsia="Arial" w:cs="Calibri" w:hint="cs"/>
          <w:color w:val="000000"/>
          <w:rtl/>
        </w:rPr>
        <w:t xml:space="preserve"> ככלי מדיני</w:t>
      </w:r>
      <w:r w:rsidRPr="0083356E">
        <w:rPr>
          <w:rFonts w:eastAsia="Arial" w:cs="Calibri"/>
          <w:color w:val="000000"/>
          <w:rtl/>
        </w:rPr>
        <w:t xml:space="preserve">. חלק מהיצוא מטורקיה לישראל, שנאסר על ידי השלטון הטורקי, </w:t>
      </w:r>
      <w:r>
        <w:rPr>
          <w:rFonts w:eastAsia="Arial" w:cs="Calibri" w:hint="cs"/>
          <w:color w:val="000000"/>
          <w:rtl/>
        </w:rPr>
        <w:t xml:space="preserve">דווח </w:t>
      </w:r>
      <w:r w:rsidRPr="0083356E">
        <w:rPr>
          <w:rFonts w:eastAsia="Arial" w:cs="Calibri"/>
          <w:color w:val="000000"/>
          <w:rtl/>
        </w:rPr>
        <w:t xml:space="preserve">כיצוא למשקים אחרים, לרבות המשק הפלסטיני. </w:t>
      </w:r>
      <w:r w:rsidRPr="0083356E">
        <w:rPr>
          <w:rFonts w:eastAsia="Arial" w:cs="Calibri"/>
          <w:color w:val="000000"/>
          <w:kern w:val="24"/>
          <w:rtl/>
        </w:rPr>
        <w:t>במקביל מצאה ישראל תחליפים למוצרים טורקיים שיבואם הופסק. מציאת מקורות חליפיים ליבוא המלט</w:t>
      </w:r>
      <w:r>
        <w:rPr>
          <w:rFonts w:eastAsia="Arial" w:cs="Calibri" w:hint="cs"/>
          <w:color w:val="000000"/>
          <w:kern w:val="24"/>
          <w:rtl/>
        </w:rPr>
        <w:t>,</w:t>
      </w:r>
      <w:r w:rsidRPr="0083356E">
        <w:rPr>
          <w:rFonts w:eastAsia="Arial" w:cs="Calibri"/>
          <w:color w:val="000000"/>
          <w:kern w:val="24"/>
          <w:rtl/>
        </w:rPr>
        <w:t xml:space="preserve"> אף על פי שערב האמברגו רוב </w:t>
      </w:r>
      <w:r>
        <w:rPr>
          <w:rFonts w:eastAsia="Arial" w:cs="Calibri" w:hint="cs"/>
          <w:color w:val="000000"/>
          <w:kern w:val="24"/>
          <w:rtl/>
        </w:rPr>
        <w:t xml:space="preserve">יבוא </w:t>
      </w:r>
      <w:r w:rsidRPr="0083356E">
        <w:rPr>
          <w:rFonts w:eastAsia="Arial" w:cs="Calibri"/>
          <w:color w:val="000000"/>
          <w:kern w:val="24"/>
          <w:rtl/>
        </w:rPr>
        <w:t xml:space="preserve">המלט </w:t>
      </w:r>
      <w:r>
        <w:rPr>
          <w:rFonts w:eastAsia="Arial" w:cs="Calibri" w:hint="cs"/>
          <w:color w:val="000000"/>
          <w:kern w:val="24"/>
          <w:rtl/>
        </w:rPr>
        <w:t>הגיע</w:t>
      </w:r>
      <w:r w:rsidRPr="0083356E">
        <w:rPr>
          <w:rFonts w:eastAsia="Arial" w:cs="Calibri"/>
          <w:color w:val="000000"/>
          <w:kern w:val="24"/>
          <w:rtl/>
        </w:rPr>
        <w:t xml:space="preserve"> מטורקיה</w:t>
      </w:r>
      <w:r>
        <w:rPr>
          <w:rFonts w:eastAsia="Arial" w:cs="Calibri" w:hint="cs"/>
          <w:color w:val="000000"/>
          <w:kern w:val="24"/>
          <w:rtl/>
        </w:rPr>
        <w:t>,</w:t>
      </w:r>
      <w:r w:rsidRPr="0083356E">
        <w:rPr>
          <w:rFonts w:eastAsia="Arial" w:cs="Calibri"/>
          <w:color w:val="000000"/>
          <w:kern w:val="24"/>
        </w:rPr>
        <w:t xml:space="preserve"> </w:t>
      </w:r>
      <w:r>
        <w:rPr>
          <w:rFonts w:eastAsia="Arial" w:cs="Calibri" w:hint="cs"/>
          <w:color w:val="000000"/>
          <w:kern w:val="24"/>
          <w:rtl/>
        </w:rPr>
        <w:t xml:space="preserve">ללא עלייה </w:t>
      </w:r>
      <w:r w:rsidRPr="0083356E">
        <w:rPr>
          <w:rFonts w:eastAsia="Arial" w:cs="Calibri"/>
          <w:color w:val="000000"/>
          <w:kern w:val="24"/>
          <w:rtl/>
        </w:rPr>
        <w:t>של מחירי המלט</w:t>
      </w:r>
      <w:r>
        <w:rPr>
          <w:rFonts w:eastAsia="Arial" w:cs="Calibri" w:hint="cs"/>
          <w:color w:val="000000"/>
          <w:kern w:val="24"/>
          <w:rtl/>
        </w:rPr>
        <w:t>,</w:t>
      </w:r>
      <w:r w:rsidRPr="0083356E">
        <w:rPr>
          <w:rFonts w:eastAsia="Arial" w:cs="Calibri"/>
          <w:color w:val="000000"/>
          <w:kern w:val="24"/>
          <w:rtl/>
        </w:rPr>
        <w:t xml:space="preserve"> היא דוגמה </w:t>
      </w:r>
      <w:r>
        <w:rPr>
          <w:rFonts w:eastAsia="Arial" w:cs="Calibri" w:hint="cs"/>
          <w:color w:val="000000"/>
          <w:kern w:val="24"/>
          <w:rtl/>
        </w:rPr>
        <w:t>בולטת</w:t>
      </w:r>
      <w:r w:rsidRPr="0083356E">
        <w:rPr>
          <w:rFonts w:eastAsia="Arial" w:cs="Calibri"/>
          <w:color w:val="000000"/>
          <w:kern w:val="24"/>
          <w:rtl/>
        </w:rPr>
        <w:t xml:space="preserve"> </w:t>
      </w:r>
      <w:r>
        <w:rPr>
          <w:rFonts w:eastAsia="Arial" w:cs="Calibri" w:hint="cs"/>
          <w:color w:val="000000"/>
          <w:kern w:val="24"/>
          <w:rtl/>
        </w:rPr>
        <w:t xml:space="preserve">להשפעה המוגבלת </w:t>
      </w:r>
      <w:r w:rsidRPr="0083356E">
        <w:rPr>
          <w:rFonts w:eastAsia="Arial" w:cs="Calibri"/>
          <w:color w:val="000000"/>
          <w:kern w:val="24"/>
          <w:rtl/>
        </w:rPr>
        <w:t xml:space="preserve">של האמברגו. </w:t>
      </w:r>
      <w:r>
        <w:rPr>
          <w:rFonts w:eastAsia="Arial" w:cs="Calibri" w:hint="cs"/>
          <w:color w:val="000000"/>
          <w:kern w:val="24"/>
          <w:rtl/>
        </w:rPr>
        <w:t xml:space="preserve">במקרה זה </w:t>
      </w:r>
      <w:r w:rsidRPr="0083356E">
        <w:rPr>
          <w:rFonts w:eastAsia="Arial" w:cs="Calibri"/>
          <w:color w:val="000000"/>
          <w:kern w:val="24"/>
          <w:rtl/>
        </w:rPr>
        <w:t xml:space="preserve">פתיחות כלכלית וגיוון מקורות היבוא – ולא הסתגרות וייצור מקומי  – </w:t>
      </w:r>
      <w:r>
        <w:rPr>
          <w:rFonts w:eastAsia="Arial" w:cs="Calibri" w:hint="cs"/>
          <w:color w:val="000000"/>
          <w:kern w:val="24"/>
          <w:rtl/>
        </w:rPr>
        <w:t>נתנו</w:t>
      </w:r>
      <w:r w:rsidRPr="0083356E">
        <w:rPr>
          <w:rFonts w:eastAsia="Arial" w:cs="Calibri"/>
          <w:color w:val="000000"/>
          <w:kern w:val="24"/>
          <w:rtl/>
        </w:rPr>
        <w:t xml:space="preserve"> מענה ל</w:t>
      </w:r>
      <w:r>
        <w:rPr>
          <w:rFonts w:eastAsia="Arial" w:cs="Calibri" w:hint="cs"/>
          <w:color w:val="000000"/>
          <w:kern w:val="24"/>
          <w:rtl/>
        </w:rPr>
        <w:t>מגבלות</w:t>
      </w:r>
      <w:r w:rsidRPr="0083356E">
        <w:rPr>
          <w:rFonts w:eastAsia="Arial" w:cs="Calibri"/>
          <w:color w:val="000000"/>
          <w:kern w:val="24"/>
          <w:rtl/>
        </w:rPr>
        <w:t xml:space="preserve"> על סחר במוצרים סחירים שיש להם שוק </w:t>
      </w:r>
      <w:r>
        <w:rPr>
          <w:rFonts w:eastAsia="Arial" w:cs="Calibri" w:hint="cs"/>
          <w:color w:val="000000"/>
          <w:kern w:val="24"/>
          <w:rtl/>
        </w:rPr>
        <w:t xml:space="preserve">בין-לאומי </w:t>
      </w:r>
      <w:r w:rsidRPr="0083356E">
        <w:rPr>
          <w:rFonts w:eastAsia="Arial" w:cs="Calibri"/>
          <w:color w:val="000000"/>
          <w:kern w:val="24"/>
          <w:rtl/>
        </w:rPr>
        <w:t>המתפקד היטב.</w:t>
      </w:r>
    </w:p>
    <w:p w:rsidR="006A183E" w:rsidRDefault="006A183E" w:rsidP="006A183E">
      <w:pPr>
        <w:spacing w:after="0" w:line="360" w:lineRule="auto"/>
        <w:rPr>
          <w:rFonts w:eastAsia="Arial" w:cs="Calibri"/>
          <w:b/>
          <w:bCs/>
          <w:rtl/>
        </w:rPr>
      </w:pPr>
    </w:p>
    <w:p w:rsidR="006A183E" w:rsidRDefault="006A183E" w:rsidP="006A183E">
      <w:pPr>
        <w:spacing w:after="0" w:line="360" w:lineRule="auto"/>
        <w:rPr>
          <w:rFonts w:eastAsia="Arial" w:cs="Calibri"/>
          <w:b/>
          <w:bCs/>
          <w:rtl/>
        </w:rPr>
      </w:pPr>
    </w:p>
    <w:p w:rsidR="006A183E" w:rsidRDefault="006A183E" w:rsidP="006A183E">
      <w:pPr>
        <w:spacing w:after="0" w:line="360" w:lineRule="auto"/>
        <w:rPr>
          <w:rFonts w:eastAsia="Arial" w:cs="Calibri"/>
          <w:b/>
          <w:bCs/>
          <w:rtl/>
        </w:rPr>
      </w:pPr>
    </w:p>
    <w:p w:rsidR="006A183E" w:rsidRPr="0083356E" w:rsidRDefault="006A183E" w:rsidP="006A183E">
      <w:pPr>
        <w:spacing w:after="0" w:line="360" w:lineRule="auto"/>
        <w:rPr>
          <w:rFonts w:eastAsia="Arial" w:cs="Calibri"/>
          <w:b/>
          <w:bCs/>
        </w:rPr>
      </w:pPr>
      <w:r w:rsidRPr="0083356E">
        <w:rPr>
          <w:rFonts w:eastAsia="Arial" w:cs="Calibri"/>
          <w:b/>
          <w:bCs/>
          <w:rtl/>
        </w:rPr>
        <w:t>מקורות</w:t>
      </w:r>
    </w:p>
    <w:p w:rsidR="006A183E" w:rsidRDefault="006A183E" w:rsidP="006A183E">
      <w:pPr>
        <w:spacing w:after="120" w:line="360" w:lineRule="auto"/>
        <w:jc w:val="both"/>
        <w:rPr>
          <w:rFonts w:eastAsia="Arial" w:cs="Calibri"/>
          <w:rtl/>
        </w:rPr>
      </w:pPr>
      <w:r w:rsidRPr="0083356E">
        <w:rPr>
          <w:rFonts w:cs="Calibri"/>
          <w:rtl/>
        </w:rPr>
        <w:t xml:space="preserve">בנק ישראל (2023). "כלכלת חצי אי? התהדקות קשרי המסחר והתיירות בין ישראל לבין משקי המזרח התיכון", </w:t>
      </w:r>
      <w:r w:rsidRPr="00814403">
        <w:rPr>
          <w:rFonts w:cs="Calibri"/>
          <w:b/>
          <w:bCs/>
          <w:rtl/>
        </w:rPr>
        <w:t>דוח בנק ישראל לשנת</w:t>
      </w:r>
      <w:r w:rsidRPr="0083356E">
        <w:rPr>
          <w:rFonts w:cs="Calibri"/>
          <w:rtl/>
        </w:rPr>
        <w:t xml:space="preserve">  2022, עמ'-54–59.</w:t>
      </w:r>
    </w:p>
    <w:p w:rsidR="006A183E" w:rsidRPr="0083356E" w:rsidRDefault="006A183E" w:rsidP="006A183E">
      <w:pPr>
        <w:spacing w:after="0" w:line="360" w:lineRule="auto"/>
        <w:ind w:firstLine="720"/>
        <w:jc w:val="both"/>
        <w:rPr>
          <w:rFonts w:eastAsia="Times New Roman" w:cs="Calibri"/>
          <w:color w:val="FF0000"/>
          <w:sz w:val="18"/>
          <w:szCs w:val="18"/>
          <w:rtl/>
        </w:rPr>
      </w:pPr>
    </w:p>
    <w:p w:rsidR="006A183E" w:rsidRPr="0083356E" w:rsidRDefault="006A183E" w:rsidP="006A183E">
      <w:pPr>
        <w:spacing w:after="0" w:line="240" w:lineRule="auto"/>
        <w:ind w:firstLine="720"/>
        <w:rPr>
          <w:rFonts w:eastAsia="Times New Roman" w:cs="Calibri"/>
          <w:color w:val="FF0000"/>
          <w:sz w:val="18"/>
          <w:szCs w:val="18"/>
          <w:rtl/>
        </w:rPr>
      </w:pPr>
    </w:p>
    <w:p w:rsidR="006A183E" w:rsidRDefault="006A183E" w:rsidP="006A183E">
      <w:pPr>
        <w:tabs>
          <w:tab w:val="left" w:pos="1862"/>
        </w:tabs>
        <w:rPr>
          <w:rFonts w:eastAsia="Times New Roman" w:cs="Calibri"/>
          <w:sz w:val="18"/>
          <w:szCs w:val="18"/>
          <w:rtl/>
        </w:rPr>
      </w:pPr>
      <w:r w:rsidRPr="0083356E">
        <w:rPr>
          <w:rFonts w:eastAsia="Times New Roman" w:cs="Calibri"/>
          <w:sz w:val="18"/>
          <w:szCs w:val="18"/>
          <w:rtl/>
        </w:rPr>
        <w:tab/>
      </w:r>
    </w:p>
    <w:p w:rsidR="006A183E" w:rsidRPr="001E54F9" w:rsidRDefault="006A183E" w:rsidP="006A183E">
      <w:pPr>
        <w:rPr>
          <w:rFonts w:eastAsia="Times New Roman" w:cs="Calibri"/>
          <w:sz w:val="18"/>
          <w:szCs w:val="18"/>
          <w:rtl/>
        </w:rPr>
      </w:pPr>
    </w:p>
    <w:p w:rsidR="006A183E" w:rsidRDefault="006A183E" w:rsidP="00765FCC">
      <w:pPr>
        <w:tabs>
          <w:tab w:val="left" w:pos="2315"/>
        </w:tabs>
        <w:jc w:val="center"/>
        <w:rPr>
          <w:rFonts w:ascii="Calibri" w:hAnsi="Calibri" w:cs="Calibri"/>
          <w:b/>
          <w:bCs/>
          <w:sz w:val="28"/>
          <w:szCs w:val="28"/>
          <w:rtl/>
        </w:rPr>
      </w:pPr>
    </w:p>
    <w:sectPr w:rsidR="006A183E"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6A183E" w:rsidRPr="0083356E" w:rsidRDefault="006A183E" w:rsidP="006A183E">
      <w:pPr>
        <w:pStyle w:val="af0"/>
        <w:rPr>
          <w:rFonts w:cs="Calibri"/>
          <w:rtl/>
        </w:rPr>
      </w:pPr>
      <w:r w:rsidRPr="0083356E">
        <w:rPr>
          <w:rStyle w:val="af2"/>
          <w:rFonts w:cs="Calibri"/>
        </w:rPr>
        <w:footnoteRef/>
      </w:r>
      <w:r w:rsidRPr="0083356E">
        <w:rPr>
          <w:rFonts w:cs="Calibri"/>
          <w:rtl/>
        </w:rPr>
        <w:t xml:space="preserve"> להרחבה על הסחר של ישראל עם טורקיה ראו: בנק ישראל (2023).</w:t>
      </w:r>
    </w:p>
  </w:footnote>
  <w:footnote w:id="2">
    <w:p w:rsidR="006A183E" w:rsidRPr="0083356E" w:rsidRDefault="006A183E" w:rsidP="006A183E">
      <w:pPr>
        <w:pStyle w:val="af0"/>
        <w:rPr>
          <w:rFonts w:cs="Calibri"/>
          <w:rtl/>
        </w:rPr>
      </w:pPr>
      <w:r w:rsidRPr="0083356E">
        <w:rPr>
          <w:rStyle w:val="af2"/>
          <w:rFonts w:cs="Calibri"/>
        </w:rPr>
        <w:footnoteRef/>
      </w:r>
      <w:r w:rsidRPr="0083356E">
        <w:rPr>
          <w:rFonts w:cs="Calibri"/>
        </w:rPr>
        <w:t xml:space="preserve"> </w:t>
      </w:r>
      <w:r w:rsidRPr="0083356E">
        <w:rPr>
          <w:rFonts w:cs="Calibri"/>
          <w:rtl/>
        </w:rPr>
        <w:t xml:space="preserve">כולל סחר ביטחוני או במוצרי אנרגיה </w:t>
      </w:r>
      <w:proofErr w:type="spellStart"/>
      <w:r w:rsidRPr="0083356E">
        <w:rPr>
          <w:rFonts w:cs="Calibri"/>
          <w:rtl/>
        </w:rPr>
        <w:t>שהלמ"ס</w:t>
      </w:r>
      <w:proofErr w:type="spellEnd"/>
      <w:r w:rsidRPr="0083356E">
        <w:rPr>
          <w:rFonts w:cs="Calibri"/>
          <w:rtl/>
        </w:rPr>
        <w:t xml:space="preserve"> לא מדווח</w:t>
      </w:r>
      <w:r>
        <w:rPr>
          <w:rFonts w:cs="Calibri" w:hint="cs"/>
          <w:rtl/>
        </w:rPr>
        <w:t>ת</w:t>
      </w:r>
      <w:r w:rsidRPr="0083356E">
        <w:rPr>
          <w:rFonts w:cs="Calibri"/>
          <w:rtl/>
        </w:rPr>
        <w:t xml:space="preserve"> על שותפיו</w:t>
      </w:r>
      <w:r w:rsidRPr="0083356E">
        <w:rPr>
          <w:rFonts w:cs="Calibri"/>
        </w:rPr>
        <w:t>.</w:t>
      </w:r>
    </w:p>
  </w:footnote>
  <w:footnote w:id="3">
    <w:p w:rsidR="006A183E" w:rsidRPr="0083356E" w:rsidRDefault="006A183E" w:rsidP="006A183E">
      <w:pPr>
        <w:pStyle w:val="af0"/>
        <w:rPr>
          <w:rFonts w:cs="Calibri"/>
          <w:rtl/>
        </w:rPr>
      </w:pPr>
      <w:r w:rsidRPr="0083356E">
        <w:rPr>
          <w:rStyle w:val="af2"/>
          <w:rFonts w:cs="Calibri"/>
        </w:rPr>
        <w:footnoteRef/>
      </w:r>
      <w:r w:rsidRPr="0083356E">
        <w:rPr>
          <w:rFonts w:cs="Calibri"/>
          <w:rtl/>
        </w:rPr>
        <w:t xml:space="preserve"> </w:t>
      </w:r>
      <w:r w:rsidRPr="0083356E">
        <w:rPr>
          <w:rFonts w:cs="Calibri"/>
          <w:rtl/>
        </w:rPr>
        <w:t>מספר ביקורי התיירים הישראלים בטורקיה ירד ב-2024 לכ-81 אלף, התכווצות של כ-90 אחוזים בהשוואה ל-2022 (</w:t>
      </w:r>
      <w:proofErr w:type="spellStart"/>
      <w:r w:rsidRPr="0083356E">
        <w:rPr>
          <w:rFonts w:cs="Calibri"/>
          <w:rtl/>
        </w:rPr>
        <w:t>הלמ"ס</w:t>
      </w:r>
      <w:proofErr w:type="spellEnd"/>
      <w:r w:rsidRPr="0083356E">
        <w:rPr>
          <w:rFonts w:cs="Calibri"/>
          <w:rtl/>
        </w:rPr>
        <w:t xml:space="preserve"> הטורקית).</w:t>
      </w:r>
    </w:p>
  </w:footnote>
  <w:footnote w:id="4">
    <w:p w:rsidR="006A183E" w:rsidRPr="0083356E" w:rsidRDefault="006A183E" w:rsidP="006A183E">
      <w:pPr>
        <w:pStyle w:val="af0"/>
        <w:rPr>
          <w:rFonts w:cs="Calibri"/>
        </w:rPr>
      </w:pPr>
      <w:r w:rsidRPr="0083356E">
        <w:rPr>
          <w:rStyle w:val="af2"/>
          <w:rFonts w:cs="Calibri"/>
        </w:rPr>
        <w:footnoteRef/>
      </w:r>
      <w:r w:rsidRPr="0083356E">
        <w:rPr>
          <w:rFonts w:cs="Calibri"/>
          <w:rtl/>
        </w:rPr>
        <w:t xml:space="preserve"> </w:t>
      </w:r>
      <w:r w:rsidRPr="0083356E">
        <w:rPr>
          <w:rFonts w:cs="Calibri"/>
          <w:rtl/>
        </w:rPr>
        <w:t>שיעור המלט המיובא מטורקיה</w:t>
      </w:r>
      <w:r>
        <w:rPr>
          <w:rFonts w:cs="Calibri" w:hint="cs"/>
          <w:rtl/>
        </w:rPr>
        <w:t xml:space="preserve"> מסך היבוא </w:t>
      </w:r>
      <w:r>
        <w:rPr>
          <w:rFonts w:cs="Calibri" w:hint="eastAsia"/>
          <w:rtl/>
        </w:rPr>
        <w:t>–</w:t>
      </w:r>
      <w:r>
        <w:rPr>
          <w:rFonts w:cs="Calibri" w:hint="cs"/>
          <w:rtl/>
        </w:rPr>
        <w:t xml:space="preserve"> 72 אחוזים </w:t>
      </w:r>
      <w:r>
        <w:rPr>
          <w:rFonts w:cs="Calibri" w:hint="eastAsia"/>
          <w:rtl/>
        </w:rPr>
        <w:t>–</w:t>
      </w:r>
      <w:r w:rsidRPr="0083356E">
        <w:rPr>
          <w:rFonts w:cs="Calibri"/>
          <w:rtl/>
        </w:rPr>
        <w:t xml:space="preserve"> מחושב כערך הדולרי, ואילו שיעור המלט המיוצר בישראל מחושב במשקל: ב-</w:t>
      </w:r>
      <w:r w:rsidRPr="0083356E">
        <w:rPr>
          <w:rFonts w:cs="Calibri"/>
        </w:rPr>
        <w:t>2023</w:t>
      </w:r>
      <w:r w:rsidRPr="0083356E">
        <w:rPr>
          <w:rFonts w:cs="Calibri"/>
          <w:rtl/>
        </w:rPr>
        <w:t xml:space="preserve"> יובאו לישראל כ-</w:t>
      </w:r>
      <w:r w:rsidRPr="0083356E">
        <w:rPr>
          <w:rFonts w:cs="Calibri"/>
        </w:rPr>
        <w:t>6.7</w:t>
      </w:r>
      <w:r w:rsidRPr="0083356E">
        <w:rPr>
          <w:rFonts w:cs="Calibri"/>
          <w:rtl/>
        </w:rPr>
        <w:t xml:space="preserve"> מיליוני טון מלט, ועל פי פרסומי </w:t>
      </w:r>
      <w:r>
        <w:rPr>
          <w:rFonts w:cs="Calibri" w:hint="cs"/>
          <w:rtl/>
        </w:rPr>
        <w:t>היצרן המקומי היחיד הוא ייצר</w:t>
      </w:r>
      <w:r w:rsidRPr="0083356E">
        <w:rPr>
          <w:rFonts w:cs="Calibri"/>
          <w:rtl/>
        </w:rPr>
        <w:t xml:space="preserve"> כ-</w:t>
      </w:r>
      <w:r w:rsidRPr="0083356E">
        <w:rPr>
          <w:rFonts w:cs="Calibri"/>
        </w:rPr>
        <w:t>4.6</w:t>
      </w:r>
      <w:r w:rsidRPr="0083356E">
        <w:rPr>
          <w:rFonts w:cs="Calibri"/>
          <w:rtl/>
        </w:rPr>
        <w:t xml:space="preserve"> מיליוני טון מלט בשנה.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D25A2"/>
    <w:multiLevelType w:val="hybridMultilevel"/>
    <w:tmpl w:val="E90622CA"/>
    <w:lvl w:ilvl="0" w:tplc="BE7E9DD4">
      <w:start w:val="1"/>
      <w:numFmt w:val="bullet"/>
      <w:lvlText w:val=""/>
      <w:lvlJc w:val="left"/>
      <w:pPr>
        <w:ind w:left="360" w:hanging="360"/>
      </w:pPr>
      <w:rPr>
        <w:rFonts w:ascii="Symbol" w:hAnsi="Symbol" w:hint="default"/>
      </w:rPr>
    </w:lvl>
    <w:lvl w:ilvl="1" w:tplc="52EA6690" w:tentative="1">
      <w:start w:val="1"/>
      <w:numFmt w:val="bullet"/>
      <w:lvlText w:val="o"/>
      <w:lvlJc w:val="left"/>
      <w:pPr>
        <w:ind w:left="1080" w:hanging="360"/>
      </w:pPr>
      <w:rPr>
        <w:rFonts w:ascii="Courier New" w:hAnsi="Courier New" w:cs="Courier New" w:hint="default"/>
      </w:rPr>
    </w:lvl>
    <w:lvl w:ilvl="2" w:tplc="291A12A6" w:tentative="1">
      <w:start w:val="1"/>
      <w:numFmt w:val="bullet"/>
      <w:lvlText w:val=""/>
      <w:lvlJc w:val="left"/>
      <w:pPr>
        <w:ind w:left="1800" w:hanging="360"/>
      </w:pPr>
      <w:rPr>
        <w:rFonts w:ascii="Wingdings" w:hAnsi="Wingdings" w:hint="default"/>
      </w:rPr>
    </w:lvl>
    <w:lvl w:ilvl="3" w:tplc="D06C6A70" w:tentative="1">
      <w:start w:val="1"/>
      <w:numFmt w:val="bullet"/>
      <w:lvlText w:val=""/>
      <w:lvlJc w:val="left"/>
      <w:pPr>
        <w:ind w:left="2520" w:hanging="360"/>
      </w:pPr>
      <w:rPr>
        <w:rFonts w:ascii="Symbol" w:hAnsi="Symbol" w:hint="default"/>
      </w:rPr>
    </w:lvl>
    <w:lvl w:ilvl="4" w:tplc="E18C56DC" w:tentative="1">
      <w:start w:val="1"/>
      <w:numFmt w:val="bullet"/>
      <w:lvlText w:val="o"/>
      <w:lvlJc w:val="left"/>
      <w:pPr>
        <w:ind w:left="3240" w:hanging="360"/>
      </w:pPr>
      <w:rPr>
        <w:rFonts w:ascii="Courier New" w:hAnsi="Courier New" w:cs="Courier New" w:hint="default"/>
      </w:rPr>
    </w:lvl>
    <w:lvl w:ilvl="5" w:tplc="A97A29C2" w:tentative="1">
      <w:start w:val="1"/>
      <w:numFmt w:val="bullet"/>
      <w:lvlText w:val=""/>
      <w:lvlJc w:val="left"/>
      <w:pPr>
        <w:ind w:left="3960" w:hanging="360"/>
      </w:pPr>
      <w:rPr>
        <w:rFonts w:ascii="Wingdings" w:hAnsi="Wingdings" w:hint="default"/>
      </w:rPr>
    </w:lvl>
    <w:lvl w:ilvl="6" w:tplc="6EE4ADD2" w:tentative="1">
      <w:start w:val="1"/>
      <w:numFmt w:val="bullet"/>
      <w:lvlText w:val=""/>
      <w:lvlJc w:val="left"/>
      <w:pPr>
        <w:ind w:left="4680" w:hanging="360"/>
      </w:pPr>
      <w:rPr>
        <w:rFonts w:ascii="Symbol" w:hAnsi="Symbol" w:hint="default"/>
      </w:rPr>
    </w:lvl>
    <w:lvl w:ilvl="7" w:tplc="012AEFE4" w:tentative="1">
      <w:start w:val="1"/>
      <w:numFmt w:val="bullet"/>
      <w:lvlText w:val="o"/>
      <w:lvlJc w:val="left"/>
      <w:pPr>
        <w:ind w:left="5400" w:hanging="360"/>
      </w:pPr>
      <w:rPr>
        <w:rFonts w:ascii="Courier New" w:hAnsi="Courier New" w:cs="Courier New" w:hint="default"/>
      </w:rPr>
    </w:lvl>
    <w:lvl w:ilvl="8" w:tplc="8A9291C4" w:tentative="1">
      <w:start w:val="1"/>
      <w:numFmt w:val="bullet"/>
      <w:lvlText w:val=""/>
      <w:lvlJc w:val="left"/>
      <w:pPr>
        <w:ind w:left="6120" w:hanging="360"/>
      </w:pPr>
      <w:rPr>
        <w:rFonts w:ascii="Wingdings" w:hAnsi="Wingdings" w:hint="default"/>
      </w:rPr>
    </w:lvl>
  </w:abstractNum>
  <w:abstractNum w:abstractNumId="3"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32F23"/>
    <w:multiLevelType w:val="hybridMultilevel"/>
    <w:tmpl w:val="DB9A37A2"/>
    <w:lvl w:ilvl="0" w:tplc="8DECFB58">
      <w:numFmt w:val="bullet"/>
      <w:lvlText w:val=""/>
      <w:lvlJc w:val="left"/>
      <w:pPr>
        <w:ind w:left="720" w:hanging="360"/>
      </w:pPr>
      <w:rPr>
        <w:rFonts w:ascii="Symbol" w:eastAsia="Calibri" w:hAnsi="Symbol" w:cs="Calibri" w:hint="default"/>
      </w:rPr>
    </w:lvl>
    <w:lvl w:ilvl="1" w:tplc="F1201A1C" w:tentative="1">
      <w:start w:val="1"/>
      <w:numFmt w:val="bullet"/>
      <w:lvlText w:val="o"/>
      <w:lvlJc w:val="left"/>
      <w:pPr>
        <w:ind w:left="1440" w:hanging="360"/>
      </w:pPr>
      <w:rPr>
        <w:rFonts w:ascii="Courier New" w:hAnsi="Courier New" w:cs="Courier New" w:hint="default"/>
      </w:rPr>
    </w:lvl>
    <w:lvl w:ilvl="2" w:tplc="F33013D2" w:tentative="1">
      <w:start w:val="1"/>
      <w:numFmt w:val="bullet"/>
      <w:lvlText w:val=""/>
      <w:lvlJc w:val="left"/>
      <w:pPr>
        <w:ind w:left="2160" w:hanging="360"/>
      </w:pPr>
      <w:rPr>
        <w:rFonts w:ascii="Wingdings" w:hAnsi="Wingdings" w:hint="default"/>
      </w:rPr>
    </w:lvl>
    <w:lvl w:ilvl="3" w:tplc="B2F4BEF2" w:tentative="1">
      <w:start w:val="1"/>
      <w:numFmt w:val="bullet"/>
      <w:lvlText w:val=""/>
      <w:lvlJc w:val="left"/>
      <w:pPr>
        <w:ind w:left="2880" w:hanging="360"/>
      </w:pPr>
      <w:rPr>
        <w:rFonts w:ascii="Symbol" w:hAnsi="Symbol" w:hint="default"/>
      </w:rPr>
    </w:lvl>
    <w:lvl w:ilvl="4" w:tplc="01764A9E" w:tentative="1">
      <w:start w:val="1"/>
      <w:numFmt w:val="bullet"/>
      <w:lvlText w:val="o"/>
      <w:lvlJc w:val="left"/>
      <w:pPr>
        <w:ind w:left="3600" w:hanging="360"/>
      </w:pPr>
      <w:rPr>
        <w:rFonts w:ascii="Courier New" w:hAnsi="Courier New" w:cs="Courier New" w:hint="default"/>
      </w:rPr>
    </w:lvl>
    <w:lvl w:ilvl="5" w:tplc="1DDE1C8A" w:tentative="1">
      <w:start w:val="1"/>
      <w:numFmt w:val="bullet"/>
      <w:lvlText w:val=""/>
      <w:lvlJc w:val="left"/>
      <w:pPr>
        <w:ind w:left="4320" w:hanging="360"/>
      </w:pPr>
      <w:rPr>
        <w:rFonts w:ascii="Wingdings" w:hAnsi="Wingdings" w:hint="default"/>
      </w:rPr>
    </w:lvl>
    <w:lvl w:ilvl="6" w:tplc="52C01056" w:tentative="1">
      <w:start w:val="1"/>
      <w:numFmt w:val="bullet"/>
      <w:lvlText w:val=""/>
      <w:lvlJc w:val="left"/>
      <w:pPr>
        <w:ind w:left="5040" w:hanging="360"/>
      </w:pPr>
      <w:rPr>
        <w:rFonts w:ascii="Symbol" w:hAnsi="Symbol" w:hint="default"/>
      </w:rPr>
    </w:lvl>
    <w:lvl w:ilvl="7" w:tplc="F2FA05B8" w:tentative="1">
      <w:start w:val="1"/>
      <w:numFmt w:val="bullet"/>
      <w:lvlText w:val="o"/>
      <w:lvlJc w:val="left"/>
      <w:pPr>
        <w:ind w:left="5760" w:hanging="360"/>
      </w:pPr>
      <w:rPr>
        <w:rFonts w:ascii="Courier New" w:hAnsi="Courier New" w:cs="Courier New" w:hint="default"/>
      </w:rPr>
    </w:lvl>
    <w:lvl w:ilvl="8" w:tplc="C2A608CA" w:tentative="1">
      <w:start w:val="1"/>
      <w:numFmt w:val="bullet"/>
      <w:lvlText w:val=""/>
      <w:lvlJc w:val="left"/>
      <w:pPr>
        <w:ind w:left="6480" w:hanging="360"/>
      </w:pPr>
      <w:rPr>
        <w:rFonts w:ascii="Wingdings" w:hAnsi="Wingdings" w:hint="default"/>
      </w:rPr>
    </w:lvl>
  </w:abstractNum>
  <w:abstractNum w:abstractNumId="6"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E3B3A"/>
    <w:multiLevelType w:val="hybridMultilevel"/>
    <w:tmpl w:val="A0CA0784"/>
    <w:lvl w:ilvl="0" w:tplc="882C9F16">
      <w:numFmt w:val="bullet"/>
      <w:lvlText w:val=""/>
      <w:lvlJc w:val="left"/>
      <w:pPr>
        <w:ind w:left="720" w:hanging="360"/>
      </w:pPr>
      <w:rPr>
        <w:rFonts w:ascii="Symbol" w:eastAsia="Calibri" w:hAnsi="Symbol" w:cs="Times New Roman" w:hint="default"/>
      </w:rPr>
    </w:lvl>
    <w:lvl w:ilvl="1" w:tplc="AF9EF06E" w:tentative="1">
      <w:start w:val="1"/>
      <w:numFmt w:val="bullet"/>
      <w:lvlText w:val="o"/>
      <w:lvlJc w:val="left"/>
      <w:pPr>
        <w:ind w:left="1440" w:hanging="360"/>
      </w:pPr>
      <w:rPr>
        <w:rFonts w:ascii="Courier New" w:hAnsi="Courier New" w:cs="Courier New" w:hint="default"/>
      </w:rPr>
    </w:lvl>
    <w:lvl w:ilvl="2" w:tplc="45B254A0" w:tentative="1">
      <w:start w:val="1"/>
      <w:numFmt w:val="bullet"/>
      <w:lvlText w:val=""/>
      <w:lvlJc w:val="left"/>
      <w:pPr>
        <w:ind w:left="2160" w:hanging="360"/>
      </w:pPr>
      <w:rPr>
        <w:rFonts w:ascii="Wingdings" w:hAnsi="Wingdings" w:hint="default"/>
      </w:rPr>
    </w:lvl>
    <w:lvl w:ilvl="3" w:tplc="FC6E9258" w:tentative="1">
      <w:start w:val="1"/>
      <w:numFmt w:val="bullet"/>
      <w:lvlText w:val=""/>
      <w:lvlJc w:val="left"/>
      <w:pPr>
        <w:ind w:left="2880" w:hanging="360"/>
      </w:pPr>
      <w:rPr>
        <w:rFonts w:ascii="Symbol" w:hAnsi="Symbol" w:hint="default"/>
      </w:rPr>
    </w:lvl>
    <w:lvl w:ilvl="4" w:tplc="A53EC846" w:tentative="1">
      <w:start w:val="1"/>
      <w:numFmt w:val="bullet"/>
      <w:lvlText w:val="o"/>
      <w:lvlJc w:val="left"/>
      <w:pPr>
        <w:ind w:left="3600" w:hanging="360"/>
      </w:pPr>
      <w:rPr>
        <w:rFonts w:ascii="Courier New" w:hAnsi="Courier New" w:cs="Courier New" w:hint="default"/>
      </w:rPr>
    </w:lvl>
    <w:lvl w:ilvl="5" w:tplc="98185C14" w:tentative="1">
      <w:start w:val="1"/>
      <w:numFmt w:val="bullet"/>
      <w:lvlText w:val=""/>
      <w:lvlJc w:val="left"/>
      <w:pPr>
        <w:ind w:left="4320" w:hanging="360"/>
      </w:pPr>
      <w:rPr>
        <w:rFonts w:ascii="Wingdings" w:hAnsi="Wingdings" w:hint="default"/>
      </w:rPr>
    </w:lvl>
    <w:lvl w:ilvl="6" w:tplc="DD24390C" w:tentative="1">
      <w:start w:val="1"/>
      <w:numFmt w:val="bullet"/>
      <w:lvlText w:val=""/>
      <w:lvlJc w:val="left"/>
      <w:pPr>
        <w:ind w:left="5040" w:hanging="360"/>
      </w:pPr>
      <w:rPr>
        <w:rFonts w:ascii="Symbol" w:hAnsi="Symbol" w:hint="default"/>
      </w:rPr>
    </w:lvl>
    <w:lvl w:ilvl="7" w:tplc="F9B4F202" w:tentative="1">
      <w:start w:val="1"/>
      <w:numFmt w:val="bullet"/>
      <w:lvlText w:val="o"/>
      <w:lvlJc w:val="left"/>
      <w:pPr>
        <w:ind w:left="5760" w:hanging="360"/>
      </w:pPr>
      <w:rPr>
        <w:rFonts w:ascii="Courier New" w:hAnsi="Courier New" w:cs="Courier New" w:hint="default"/>
      </w:rPr>
    </w:lvl>
    <w:lvl w:ilvl="8" w:tplc="EBC46BC6" w:tentative="1">
      <w:start w:val="1"/>
      <w:numFmt w:val="bullet"/>
      <w:lvlText w:val=""/>
      <w:lvlJc w:val="left"/>
      <w:pPr>
        <w:ind w:left="6480" w:hanging="360"/>
      </w:pPr>
      <w:rPr>
        <w:rFonts w:ascii="Wingdings" w:hAnsi="Wingdings" w:hint="default"/>
      </w:rPr>
    </w:lvl>
  </w:abstractNum>
  <w:abstractNum w:abstractNumId="15"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7"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20"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6150FEA"/>
    <w:multiLevelType w:val="hybridMultilevel"/>
    <w:tmpl w:val="889EABD0"/>
    <w:lvl w:ilvl="0" w:tplc="EF729574">
      <w:start w:val="1"/>
      <w:numFmt w:val="decimal"/>
      <w:lvlText w:val="%1."/>
      <w:lvlJc w:val="left"/>
      <w:pPr>
        <w:ind w:left="720" w:hanging="360"/>
      </w:pPr>
      <w:rPr>
        <w:rFonts w:hint="default"/>
        <w:b/>
        <w:bCs/>
        <w:color w:val="auto"/>
      </w:rPr>
    </w:lvl>
    <w:lvl w:ilvl="1" w:tplc="62CECDDE" w:tentative="1">
      <w:start w:val="1"/>
      <w:numFmt w:val="lowerLetter"/>
      <w:lvlText w:val="%2."/>
      <w:lvlJc w:val="left"/>
      <w:pPr>
        <w:ind w:left="1440" w:hanging="360"/>
      </w:pPr>
    </w:lvl>
    <w:lvl w:ilvl="2" w:tplc="53403768" w:tentative="1">
      <w:start w:val="1"/>
      <w:numFmt w:val="lowerRoman"/>
      <w:lvlText w:val="%3."/>
      <w:lvlJc w:val="right"/>
      <w:pPr>
        <w:ind w:left="2160" w:hanging="180"/>
      </w:pPr>
    </w:lvl>
    <w:lvl w:ilvl="3" w:tplc="DCF2C7B8" w:tentative="1">
      <w:start w:val="1"/>
      <w:numFmt w:val="decimal"/>
      <w:lvlText w:val="%4."/>
      <w:lvlJc w:val="left"/>
      <w:pPr>
        <w:ind w:left="2880" w:hanging="360"/>
      </w:pPr>
    </w:lvl>
    <w:lvl w:ilvl="4" w:tplc="96ACEDAC" w:tentative="1">
      <w:start w:val="1"/>
      <w:numFmt w:val="lowerLetter"/>
      <w:lvlText w:val="%5."/>
      <w:lvlJc w:val="left"/>
      <w:pPr>
        <w:ind w:left="3600" w:hanging="360"/>
      </w:pPr>
    </w:lvl>
    <w:lvl w:ilvl="5" w:tplc="5E068CCA" w:tentative="1">
      <w:start w:val="1"/>
      <w:numFmt w:val="lowerRoman"/>
      <w:lvlText w:val="%6."/>
      <w:lvlJc w:val="right"/>
      <w:pPr>
        <w:ind w:left="4320" w:hanging="180"/>
      </w:pPr>
    </w:lvl>
    <w:lvl w:ilvl="6" w:tplc="B8063750" w:tentative="1">
      <w:start w:val="1"/>
      <w:numFmt w:val="decimal"/>
      <w:lvlText w:val="%7."/>
      <w:lvlJc w:val="left"/>
      <w:pPr>
        <w:ind w:left="5040" w:hanging="360"/>
      </w:pPr>
    </w:lvl>
    <w:lvl w:ilvl="7" w:tplc="6FD008C2" w:tentative="1">
      <w:start w:val="1"/>
      <w:numFmt w:val="lowerLetter"/>
      <w:lvlText w:val="%8."/>
      <w:lvlJc w:val="left"/>
      <w:pPr>
        <w:ind w:left="5760" w:hanging="360"/>
      </w:pPr>
    </w:lvl>
    <w:lvl w:ilvl="8" w:tplc="6E845C12" w:tentative="1">
      <w:start w:val="1"/>
      <w:numFmt w:val="lowerRoman"/>
      <w:lvlText w:val="%9."/>
      <w:lvlJc w:val="right"/>
      <w:pPr>
        <w:ind w:left="6480" w:hanging="180"/>
      </w:pPr>
    </w:lvl>
  </w:abstractNum>
  <w:abstractNum w:abstractNumId="2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3"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8"/>
  </w:num>
  <w:num w:numId="4">
    <w:abstractNumId w:val="10"/>
  </w:num>
  <w:num w:numId="5">
    <w:abstractNumId w:val="9"/>
  </w:num>
  <w:num w:numId="6">
    <w:abstractNumId w:val="4"/>
  </w:num>
  <w:num w:numId="7">
    <w:abstractNumId w:val="18"/>
  </w:num>
  <w:num w:numId="8">
    <w:abstractNumId w:val="25"/>
  </w:num>
  <w:num w:numId="9">
    <w:abstractNumId w:val="29"/>
  </w:num>
  <w:num w:numId="10">
    <w:abstractNumId w:val="21"/>
  </w:num>
  <w:num w:numId="11">
    <w:abstractNumId w:val="17"/>
  </w:num>
  <w:num w:numId="12">
    <w:abstractNumId w:val="22"/>
  </w:num>
  <w:num w:numId="13">
    <w:abstractNumId w:val="15"/>
  </w:num>
  <w:num w:numId="14">
    <w:abstractNumId w:val="6"/>
  </w:num>
  <w:num w:numId="15">
    <w:abstractNumId w:val="23"/>
  </w:num>
  <w:num w:numId="16">
    <w:abstractNumId w:val="3"/>
  </w:num>
  <w:num w:numId="17">
    <w:abstractNumId w:val="33"/>
  </w:num>
  <w:num w:numId="18">
    <w:abstractNumId w:val="30"/>
  </w:num>
  <w:num w:numId="19">
    <w:abstractNumId w:val="27"/>
  </w:num>
  <w:num w:numId="20">
    <w:abstractNumId w:val="26"/>
  </w:num>
  <w:num w:numId="21">
    <w:abstractNumId w:val="1"/>
  </w:num>
  <w:num w:numId="22">
    <w:abstractNumId w:val="11"/>
  </w:num>
  <w:num w:numId="23">
    <w:abstractNumId w:val="31"/>
  </w:num>
  <w:num w:numId="24">
    <w:abstractNumId w:val="20"/>
  </w:num>
  <w:num w:numId="25">
    <w:abstractNumId w:val="24"/>
  </w:num>
  <w:num w:numId="26">
    <w:abstractNumId w:val="32"/>
  </w:num>
  <w:num w:numId="27">
    <w:abstractNumId w:val="0"/>
  </w:num>
  <w:num w:numId="28">
    <w:abstractNumId w:val="16"/>
  </w:num>
  <w:num w:numId="29">
    <w:abstractNumId w:val="19"/>
  </w:num>
  <w:num w:numId="30">
    <w:abstractNumId w:val="13"/>
  </w:num>
  <w:num w:numId="31">
    <w:abstractNumId w:val="28"/>
  </w:num>
  <w:num w:numId="32">
    <w:abstractNumId w:val="14"/>
  </w:num>
  <w:num w:numId="33">
    <w:abstractNumId w:val="5"/>
  </w:num>
  <w:num w:numId="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1F47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2F40"/>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41E3"/>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183E"/>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31FD"/>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1C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6AE3-0851-4E8A-99F5-FD403746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4569</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2025-03-19T11:24:00Z</dcterms:created>
  <dcterms:modified xsi:type="dcterms:W3CDTF">2025-03-19T11:24:00Z</dcterms:modified>
</cp:coreProperties>
</file>