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5C538A" w:rsidTr="00AE40EC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D0D" w:rsidRPr="00ED6F32" w:rsidRDefault="003C5F2C" w:rsidP="00AE40EC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D6F3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BB4D0D" w:rsidRPr="00ED6F32" w:rsidRDefault="003C5F2C" w:rsidP="00AE40EC">
            <w:pPr>
              <w:bidi/>
              <w:spacing w:line="360" w:lineRule="auto"/>
              <w:ind w:right="-101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ED6F32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BB4D0D" w:rsidRPr="00ED6F32" w:rsidRDefault="003C5F2C" w:rsidP="00AE40EC">
            <w:pPr>
              <w:bidi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914400" cy="914400"/>
                  <wp:effectExtent l="0" t="0" r="0" b="0"/>
                  <wp:docPr id="1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D0D" w:rsidRPr="00B761A8" w:rsidRDefault="003C5F2C" w:rsidP="00365E04">
            <w:pPr>
              <w:bidi/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ED6F32">
              <w:rPr>
                <w:rFonts w:ascii="David" w:hAnsi="David" w:cs="David"/>
                <w:sz w:val="24"/>
                <w:szCs w:val="24"/>
                <w:rtl/>
              </w:rPr>
              <w:t>‏</w:t>
            </w:r>
            <w:r w:rsidRPr="00B761A8">
              <w:rPr>
                <w:rFonts w:ascii="David" w:hAnsi="David" w:cs="David"/>
                <w:sz w:val="24"/>
                <w:szCs w:val="24"/>
                <w:rtl/>
              </w:rPr>
              <w:t xml:space="preserve">ירושלים, </w:t>
            </w:r>
            <w:r w:rsidR="00513779">
              <w:rPr>
                <w:rFonts w:ascii="David" w:hAnsi="David" w:cs="David" w:hint="cs"/>
                <w:sz w:val="24"/>
                <w:szCs w:val="24"/>
                <w:rtl/>
              </w:rPr>
              <w:t>יט</w:t>
            </w:r>
            <w:r w:rsidR="00F55A2F" w:rsidRPr="00B761A8">
              <w:rPr>
                <w:rFonts w:ascii="David" w:hAnsi="David" w:cs="David" w:hint="cs"/>
                <w:sz w:val="24"/>
                <w:szCs w:val="24"/>
                <w:rtl/>
              </w:rPr>
              <w:t xml:space="preserve">' </w:t>
            </w:r>
            <w:r w:rsidR="00365E04">
              <w:rPr>
                <w:rFonts w:ascii="David" w:hAnsi="David" w:cs="David" w:hint="cs"/>
                <w:sz w:val="24"/>
                <w:szCs w:val="24"/>
                <w:rtl/>
              </w:rPr>
              <w:t>אלול</w:t>
            </w:r>
            <w:r w:rsidRPr="00B761A8">
              <w:rPr>
                <w:rFonts w:ascii="David" w:hAnsi="David" w:cs="David"/>
                <w:sz w:val="24"/>
                <w:szCs w:val="24"/>
                <w:rtl/>
              </w:rPr>
              <w:t>, התשפ"</w:t>
            </w:r>
            <w:r w:rsidR="00B761A8" w:rsidRPr="00B761A8">
              <w:rPr>
                <w:rFonts w:ascii="David" w:hAnsi="David" w:cs="David" w:hint="cs"/>
                <w:sz w:val="24"/>
                <w:szCs w:val="24"/>
                <w:rtl/>
              </w:rPr>
              <w:t>ד</w:t>
            </w:r>
          </w:p>
          <w:p w:rsidR="00BB4D0D" w:rsidRPr="00ED6F32" w:rsidRDefault="003C5F2C" w:rsidP="00365E04">
            <w:pPr>
              <w:bidi/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B761A8">
              <w:rPr>
                <w:rFonts w:ascii="David" w:hAnsi="David" w:cs="David"/>
                <w:sz w:val="24"/>
                <w:szCs w:val="24"/>
                <w:rtl/>
              </w:rPr>
              <w:t>‏‏</w:t>
            </w:r>
            <w:r w:rsidR="00A26840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="00365E04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="00F55A2F" w:rsidRPr="00B761A8">
              <w:rPr>
                <w:rFonts w:ascii="David" w:hAnsi="David" w:cs="David" w:hint="cs"/>
                <w:sz w:val="24"/>
                <w:szCs w:val="24"/>
                <w:rtl/>
              </w:rPr>
              <w:t xml:space="preserve"> ב</w:t>
            </w:r>
            <w:r w:rsidR="00365E04">
              <w:rPr>
                <w:rFonts w:ascii="David" w:hAnsi="David" w:cs="David" w:hint="cs"/>
                <w:sz w:val="24"/>
                <w:szCs w:val="24"/>
                <w:rtl/>
              </w:rPr>
              <w:t>ספטמבר</w:t>
            </w:r>
            <w:r w:rsidRPr="00B761A8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A26840">
              <w:rPr>
                <w:rFonts w:ascii="David" w:hAnsi="David" w:cs="David" w:hint="cs"/>
                <w:sz w:val="24"/>
                <w:szCs w:val="24"/>
                <w:rtl/>
              </w:rPr>
              <w:t>2024</w:t>
            </w:r>
          </w:p>
        </w:tc>
      </w:tr>
    </w:tbl>
    <w:p w:rsidR="00BB4D0D" w:rsidRPr="00ED6F32" w:rsidRDefault="003C5F2C" w:rsidP="00BB4D0D">
      <w:pPr>
        <w:bidi/>
        <w:spacing w:before="240" w:line="360" w:lineRule="auto"/>
        <w:ind w:right="-102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Arial" w:hint="cs"/>
          <w:sz w:val="24"/>
          <w:szCs w:val="24"/>
          <w:rtl/>
          <w:lang w:bidi="ar-SA"/>
        </w:rPr>
        <w:t>إعلان للصحافة</w:t>
      </w:r>
      <w:r w:rsidRPr="00ED6F32">
        <w:rPr>
          <w:rFonts w:ascii="David" w:hAnsi="David" w:cs="David"/>
          <w:sz w:val="24"/>
          <w:szCs w:val="24"/>
          <w:rtl/>
        </w:rPr>
        <w:t>:</w:t>
      </w:r>
    </w:p>
    <w:p w:rsidR="009E07BE" w:rsidRPr="00ED6F32" w:rsidRDefault="009E07BE" w:rsidP="009E07BE">
      <w:pPr>
        <w:bidi/>
        <w:spacing w:line="360" w:lineRule="auto"/>
        <w:ind w:right="-101"/>
        <w:rPr>
          <w:rFonts w:ascii="David" w:hAnsi="David" w:cs="David"/>
          <w:sz w:val="24"/>
          <w:szCs w:val="24"/>
          <w:rtl/>
        </w:rPr>
      </w:pPr>
    </w:p>
    <w:p w:rsidR="00C9322A" w:rsidRPr="00B52A00" w:rsidRDefault="003C5F2C" w:rsidP="00365E04">
      <w:pPr>
        <w:pStyle w:val="Title"/>
        <w:rPr>
          <w:rFonts w:ascii="David" w:hAnsi="David"/>
          <w:rtl/>
          <w:lang w:bidi="ar-SA"/>
        </w:rPr>
      </w:pPr>
      <w:r w:rsidRPr="00B52A00">
        <w:rPr>
          <w:rFonts w:ascii="David" w:hAnsi="David"/>
          <w:rtl/>
          <w:lang w:bidi="ar-SA"/>
        </w:rPr>
        <w:t>تطور ديون القطاع الخاص غير المالي في الربع الثاني من عام 2024</w:t>
      </w:r>
    </w:p>
    <w:p w:rsidR="00A92E0A" w:rsidRDefault="00A92E0A" w:rsidP="001F0A9C">
      <w:pPr>
        <w:bidi/>
        <w:spacing w:line="360" w:lineRule="auto"/>
        <w:jc w:val="both"/>
        <w:rPr>
          <w:rFonts w:ascii="David" w:hAnsi="David" w:cs="David"/>
          <w:sz w:val="24"/>
          <w:szCs w:val="24"/>
          <w:highlight w:val="yellow"/>
          <w:rtl/>
        </w:rPr>
      </w:pPr>
    </w:p>
    <w:p w:rsidR="00D05B15" w:rsidRPr="00B52A00" w:rsidRDefault="003C5F2C" w:rsidP="00B46C73">
      <w:pPr>
        <w:bidi/>
        <w:spacing w:line="360" w:lineRule="auto"/>
        <w:jc w:val="both"/>
        <w:rPr>
          <w:rFonts w:ascii="David" w:hAnsi="David" w:cs="Arial"/>
          <w:sz w:val="24"/>
          <w:szCs w:val="24"/>
          <w:rtl/>
          <w:lang w:bidi="ar-SA"/>
        </w:rPr>
      </w:pPr>
      <w:bookmarkStart w:id="0" w:name="_GoBack"/>
      <w:r w:rsidRPr="00B52A00">
        <w:rPr>
          <w:rFonts w:ascii="David" w:hAnsi="David" w:cs="Arial"/>
          <w:sz w:val="24"/>
          <w:szCs w:val="24"/>
          <w:rtl/>
          <w:lang w:bidi="ar-SA"/>
        </w:rPr>
        <w:t>فيما يلي ملخص لتطور بيانات ديون القطاع الخاص غير المالي في الربع الثاني من العام:</w:t>
      </w:r>
    </w:p>
    <w:p w:rsidR="00052923" w:rsidRPr="00780CEE" w:rsidRDefault="003C5F2C" w:rsidP="00B46C73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في الربع الثاني من العام، ارتفع رصيد ديون </w:t>
      </w:r>
      <w:r w:rsidRPr="00B46C73">
        <w:rPr>
          <w:rFonts w:ascii="David" w:hAnsi="David" w:cs="Times New Roman"/>
          <w:b/>
          <w:bCs/>
          <w:sz w:val="24"/>
          <w:szCs w:val="24"/>
          <w:rtl/>
          <w:lang w:bidi="ar-SA"/>
        </w:rPr>
        <w:t>القطاع الخاص غير المالي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، سواء ديون </w:t>
      </w:r>
      <w:r w:rsidR="00B46C73" w:rsidRPr="00B46C73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المصالح التجارية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>أ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>و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 xml:space="preserve"> 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ديون </w:t>
      </w:r>
      <w:r w:rsidRPr="00B46C73">
        <w:rPr>
          <w:rFonts w:ascii="David" w:hAnsi="David" w:cs="Times New Roman"/>
          <w:b/>
          <w:bCs/>
          <w:sz w:val="24"/>
          <w:szCs w:val="24"/>
          <w:rtl/>
          <w:lang w:bidi="ar-SA"/>
        </w:rPr>
        <w:t>الأسر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، 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>بنسبة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معتدل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>ة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بلغ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>ت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حوالي 0.9%، وبالتالي استمر تباطؤ معدل النمو السنوي 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>لرصيد الدين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الذي بدأ في النصف الثاني من عام 2022.</w:t>
      </w:r>
    </w:p>
    <w:p w:rsidR="006B609F" w:rsidRDefault="003C5F2C" w:rsidP="008379EC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ارتفع رصيد </w:t>
      </w:r>
      <w:r w:rsidRPr="00B46C73">
        <w:rPr>
          <w:rFonts w:ascii="David" w:hAnsi="David" w:cs="Times New Roman"/>
          <w:b/>
          <w:bCs/>
          <w:sz w:val="24"/>
          <w:szCs w:val="24"/>
          <w:rtl/>
          <w:lang w:bidi="ar-SA"/>
        </w:rPr>
        <w:t>ديون قطاع الأعمال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في هذا الربع بنسبة 0.5% 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 xml:space="preserve">تقريباً 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(حوالي 7 مليار شيكل) إلى حوالي 1.3 تريليون، نتيجة 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>ل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انخفاض قيمة الشيكل مقابل الدولار وارتفاع 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>مؤشر الا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>سع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>ا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ر 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>ل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لمستهلك. كما 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>تأثرت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الزيادة في 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>رصيد الدين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>أيضاً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>بصافي ديون منخفض</w:t>
      </w:r>
      <w:r w:rsidR="008379EC">
        <w:rPr>
          <w:rFonts w:ascii="David" w:hAnsi="David" w:cs="Times New Roman" w:hint="cs"/>
          <w:sz w:val="24"/>
          <w:szCs w:val="24"/>
          <w:rtl/>
          <w:lang w:bidi="ar-SA"/>
        </w:rPr>
        <w:t>ة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 xml:space="preserve"> النطاق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8379EC">
        <w:rPr>
          <w:rFonts w:ascii="David" w:hAnsi="David" w:cs="Times New Roman" w:hint="cs"/>
          <w:sz w:val="24"/>
          <w:szCs w:val="24"/>
          <w:rtl/>
          <w:lang w:bidi="ar-SA"/>
        </w:rPr>
        <w:t>عبر قنوات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>ال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قروض 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>البنكية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، خاصة لقطاع 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>المصالح التجارية الكبيرة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، 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>وكذلك من حيث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القروض المباشرة من الهيئات المؤسس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>ات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ية، تم تعويض هذه 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>التأثيرات جزئياً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من خلال صافي السداد في 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>مجال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>سندات الدين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القابلة 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>للتداول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في إسرائيل والديون المتراكمة في الخارج.</w:t>
      </w:r>
    </w:p>
    <w:p w:rsidR="00482D72" w:rsidRPr="00D87406" w:rsidRDefault="003C5F2C" w:rsidP="008379EC">
      <w:pPr>
        <w:pStyle w:val="ListParagraph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بلغت إصدارات السندات من قبل </w:t>
      </w:r>
      <w:r w:rsidRPr="00B46C73">
        <w:rPr>
          <w:rFonts w:ascii="David" w:hAnsi="David" w:cs="Arial"/>
          <w:b/>
          <w:bCs/>
          <w:sz w:val="24"/>
          <w:szCs w:val="24"/>
          <w:rtl/>
          <w:lang w:bidi="ar-SA"/>
        </w:rPr>
        <w:t>قطاع الأعمال</w:t>
      </w:r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 في </w:t>
      </w:r>
      <w:r w:rsidR="00B46C73">
        <w:rPr>
          <w:rFonts w:ascii="David" w:hAnsi="David" w:cs="Arial" w:hint="cs"/>
          <w:sz w:val="24"/>
          <w:szCs w:val="24"/>
          <w:rtl/>
          <w:lang w:bidi="ar-SA"/>
        </w:rPr>
        <w:t>البلاد</w:t>
      </w:r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 في هذا الربع ما قيمته </w:t>
      </w:r>
      <w:r w:rsidR="00B46C73">
        <w:rPr>
          <w:rFonts w:ascii="David" w:hAnsi="David" w:cs="Arial" w:hint="cs"/>
          <w:sz w:val="24"/>
          <w:szCs w:val="24"/>
          <w:rtl/>
          <w:lang w:bidi="ar-SA"/>
        </w:rPr>
        <w:t>نحو</w:t>
      </w:r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 9 مليار شيكل، وهو أقل بكثير من المتوسط ​​الفصلي للأرباع الأربعة السابقة</w:t>
      </w:r>
      <w:r w:rsidR="00B46C73">
        <w:rPr>
          <w:rFonts w:ascii="David" w:hAnsi="David" w:cs="Arial" w:hint="cs"/>
          <w:sz w:val="24"/>
          <w:szCs w:val="24"/>
          <w:rtl/>
          <w:lang w:bidi="ar-SA"/>
        </w:rPr>
        <w:t>؛</w:t>
      </w:r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 تم تنفيذ حوالي ثلثيها من قبل شركات </w:t>
      </w:r>
      <w:r w:rsidR="00B46C73">
        <w:rPr>
          <w:rFonts w:ascii="David" w:hAnsi="David" w:cs="Arial"/>
          <w:sz w:val="24"/>
          <w:szCs w:val="24"/>
          <w:rtl/>
          <w:lang w:bidi="ar-SA"/>
        </w:rPr>
        <w:t xml:space="preserve">من قطاع العقارات والبناء، وهو </w:t>
      </w:r>
      <w:r w:rsidR="008379EC">
        <w:rPr>
          <w:rFonts w:ascii="David" w:hAnsi="David" w:cs="Arial" w:hint="cs"/>
          <w:sz w:val="24"/>
          <w:szCs w:val="24"/>
          <w:rtl/>
          <w:lang w:bidi="ar-SA"/>
        </w:rPr>
        <w:t>ال</w:t>
      </w:r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قطاع </w:t>
      </w:r>
      <w:r w:rsidR="008379EC">
        <w:rPr>
          <w:rFonts w:ascii="David" w:hAnsi="David" w:cs="Arial" w:hint="cs"/>
          <w:sz w:val="24"/>
          <w:szCs w:val="24"/>
          <w:rtl/>
          <w:lang w:bidi="ar-SA"/>
        </w:rPr>
        <w:t xml:space="preserve">الذي </w:t>
      </w:r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لا يزال يقود عمليات </w:t>
      </w:r>
      <w:r w:rsidR="00B46C73">
        <w:rPr>
          <w:rFonts w:ascii="David" w:hAnsi="David" w:cs="Arial" w:hint="cs"/>
          <w:sz w:val="24"/>
          <w:szCs w:val="24"/>
          <w:rtl/>
          <w:lang w:bidi="ar-SA"/>
        </w:rPr>
        <w:t xml:space="preserve">جمع </w:t>
      </w:r>
      <w:r w:rsidR="008379EC">
        <w:rPr>
          <w:rFonts w:ascii="David" w:hAnsi="David" w:cs="Arial" w:hint="cs"/>
          <w:sz w:val="24"/>
          <w:szCs w:val="24"/>
          <w:rtl/>
          <w:lang w:bidi="ar-SA"/>
        </w:rPr>
        <w:t>السندات</w:t>
      </w:r>
      <w:r w:rsidRPr="00B52A00">
        <w:rPr>
          <w:rFonts w:ascii="David" w:hAnsi="David" w:cs="Arial"/>
          <w:sz w:val="24"/>
          <w:szCs w:val="24"/>
          <w:rtl/>
          <w:lang w:bidi="ar-SA"/>
        </w:rPr>
        <w:t>، على غرار السنوات السابقة.</w:t>
      </w:r>
    </w:p>
    <w:p w:rsidR="00342DC4" w:rsidRPr="00342DC4" w:rsidRDefault="003C5F2C" w:rsidP="00B46C73">
      <w:pPr>
        <w:pStyle w:val="ListParagraph"/>
        <w:numPr>
          <w:ilvl w:val="0"/>
          <w:numId w:val="20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كما واصل </w:t>
      </w:r>
      <w:r w:rsidRPr="00B46C73">
        <w:rPr>
          <w:rFonts w:ascii="David" w:hAnsi="David" w:cs="Times New Roman"/>
          <w:b/>
          <w:bCs/>
          <w:sz w:val="24"/>
          <w:szCs w:val="24"/>
          <w:rtl/>
          <w:lang w:bidi="ar-SA"/>
        </w:rPr>
        <w:t>رصيد ديون ا</w:t>
      </w:r>
      <w:r w:rsidRPr="00B46C73">
        <w:rPr>
          <w:rFonts w:ascii="David" w:hAnsi="David" w:cs="Times New Roman"/>
          <w:b/>
          <w:bCs/>
          <w:sz w:val="24"/>
          <w:szCs w:val="24"/>
          <w:rtl/>
          <w:lang w:bidi="ar-SA"/>
        </w:rPr>
        <w:t>لأسر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نموه خلال هذا الربع ليصل إلى حوالي 812 مليار شيكل، 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>خاصة بسبب</w:t>
      </w:r>
      <w:r w:rsidR="00B46C73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زيادة </w:t>
      </w:r>
      <w:r w:rsidRPr="00B46C73">
        <w:rPr>
          <w:rFonts w:ascii="David" w:hAnsi="David" w:cs="Times New Roman"/>
          <w:b/>
          <w:bCs/>
          <w:sz w:val="24"/>
          <w:szCs w:val="24"/>
          <w:rtl/>
          <w:lang w:bidi="ar-SA"/>
        </w:rPr>
        <w:t>رصيد ديون الإسكان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(حوالي 10 مليار، 2%) والذي 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>نجم عن زيادة في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الحصول على قروض عقارية جديدة من 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 xml:space="preserve">البنوك؛ 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كما ارتفع </w:t>
      </w:r>
      <w:r w:rsidRPr="00B46C73">
        <w:rPr>
          <w:rFonts w:ascii="David" w:hAnsi="David" w:cs="Times New Roman"/>
          <w:b/>
          <w:bCs/>
          <w:sz w:val="24"/>
          <w:szCs w:val="24"/>
          <w:rtl/>
          <w:lang w:bidi="ar-SA"/>
        </w:rPr>
        <w:t>رصيد الديون غير السكنية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(نحو 2 مليار شيكل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>،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بنسبة 0.7%)، وتركز </w:t>
      </w:r>
      <w:r w:rsidR="00B46C73">
        <w:rPr>
          <w:rFonts w:ascii="David" w:hAnsi="David" w:cs="Times New Roman" w:hint="cs"/>
          <w:sz w:val="24"/>
          <w:szCs w:val="24"/>
          <w:rtl/>
          <w:lang w:bidi="ar-SA"/>
        </w:rPr>
        <w:t xml:space="preserve">هذا 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>الارتفاع في رصيد الديون للبنوك.</w:t>
      </w:r>
    </w:p>
    <w:bookmarkEnd w:id="0"/>
    <w:p w:rsidR="00FF4A03" w:rsidRPr="00160D95" w:rsidRDefault="00FF4A03" w:rsidP="00FF4A03">
      <w:pPr>
        <w:pStyle w:val="ListParagraph"/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9F574F" w:rsidRPr="00ED6F32" w:rsidRDefault="003C5F2C" w:rsidP="00B52A00">
      <w:pPr>
        <w:pStyle w:val="ListParagraph"/>
        <w:numPr>
          <w:ilvl w:val="0"/>
          <w:numId w:val="18"/>
        </w:num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Style w:val="Heading1Char"/>
          <w:rFonts w:ascii="David" w:hAnsi="David"/>
          <w:rtl/>
          <w:lang w:bidi="ar-SA"/>
        </w:rPr>
        <w:t>ديون قطاع الأعمال غير المالي</w:t>
      </w:r>
      <w:r w:rsidR="00B52A00" w:rsidRPr="00B52A00">
        <w:rPr>
          <w:rStyle w:val="Heading1Char"/>
          <w:rFonts w:ascii="David" w:hAnsi="David"/>
          <w:rtl/>
          <w:lang w:bidi="ar-SA"/>
        </w:rPr>
        <w:t xml:space="preserve"> </w:t>
      </w:r>
      <w:r>
        <w:rPr>
          <w:rStyle w:val="FootnoteReference"/>
          <w:rFonts w:ascii="David" w:hAnsi="David" w:cs="David"/>
          <w:b/>
          <w:bCs/>
          <w:sz w:val="24"/>
          <w:szCs w:val="24"/>
          <w:rtl/>
        </w:rPr>
        <w:footnoteReference w:id="1"/>
      </w:r>
      <w:r w:rsidR="0028327B" w:rsidRPr="00ED6F32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9D64F7" w:rsidRPr="009D64F7" w:rsidRDefault="003C5F2C" w:rsidP="00F653FF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أفادت شعبة المعلومات والإحصاء أنه في الربع الثاني من عام 2024، استمر التباطؤ في رصيد </w:t>
      </w:r>
      <w:r w:rsidRPr="00F653FF">
        <w:rPr>
          <w:rFonts w:ascii="David" w:hAnsi="David" w:cs="Times New Roman"/>
          <w:b/>
          <w:bCs/>
          <w:sz w:val="24"/>
          <w:szCs w:val="24"/>
          <w:rtl/>
          <w:lang w:bidi="ar-SA"/>
        </w:rPr>
        <w:t>ديون قطاع الأعمال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الذي بدأ في النصف الثاني من عام 2022، وارتفع في هذا الربع إلى حدود 7 مليار شيكل</w:t>
      </w:r>
      <w:r w:rsidR="00F653FF">
        <w:rPr>
          <w:rFonts w:ascii="David" w:hAnsi="David" w:cs="Times New Roman" w:hint="cs"/>
          <w:sz w:val="24"/>
          <w:szCs w:val="24"/>
          <w:rtl/>
          <w:lang w:bidi="ar-SA"/>
        </w:rPr>
        <w:t xml:space="preserve"> تقريباً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(0.5%)، وهو أقل بكثير مما سجله في الربع السابق</w:t>
      </w:r>
      <w:r w:rsidR="00F653FF">
        <w:rPr>
          <w:rFonts w:ascii="David" w:hAnsi="David" w:cs="Times New Roman" w:hint="cs"/>
          <w:sz w:val="24"/>
          <w:szCs w:val="24"/>
          <w:rtl/>
          <w:lang w:bidi="ar-SA"/>
        </w:rPr>
        <w:t>،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إلى مستوى 1.3 تريليون</w:t>
      </w:r>
      <w:r w:rsidR="00F653FF">
        <w:rPr>
          <w:rFonts w:ascii="David" w:hAnsi="David" w:cs="Times New Roman" w:hint="cs"/>
          <w:sz w:val="24"/>
          <w:szCs w:val="24"/>
          <w:rtl/>
          <w:lang w:bidi="ar-SA"/>
        </w:rPr>
        <w:t xml:space="preserve"> تقريباً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>.</w:t>
      </w:r>
    </w:p>
    <w:p w:rsidR="00B76018" w:rsidRPr="00ED128A" w:rsidRDefault="003C5F2C" w:rsidP="008379EC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52A00">
        <w:rPr>
          <w:rFonts w:ascii="David" w:hAnsi="David" w:cs="Arial"/>
          <w:sz w:val="24"/>
          <w:szCs w:val="24"/>
          <w:rtl/>
          <w:lang w:bidi="ar-SA"/>
        </w:rPr>
        <w:lastRenderedPageBreak/>
        <w:t xml:space="preserve">يعود الارتفاع في رصيد الدين في هذا الربع </w:t>
      </w:r>
      <w:r>
        <w:rPr>
          <w:rFonts w:ascii="David" w:hAnsi="David" w:cs="Arial" w:hint="cs"/>
          <w:sz w:val="24"/>
          <w:szCs w:val="24"/>
          <w:rtl/>
          <w:lang w:bidi="ar-SA"/>
        </w:rPr>
        <w:t>بشكل</w:t>
      </w:r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 كبير إلى انخفاض قيمة الشيكل مقابل الدولار بنحو 2.1% وارتفاع مؤشر </w:t>
      </w:r>
      <w:r>
        <w:rPr>
          <w:rFonts w:ascii="David" w:hAnsi="David" w:cs="Arial" w:hint="cs"/>
          <w:sz w:val="24"/>
          <w:szCs w:val="24"/>
          <w:rtl/>
          <w:lang w:bidi="ar-SA"/>
        </w:rPr>
        <w:t>ال</w:t>
      </w:r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أسعار </w:t>
      </w:r>
      <w:r>
        <w:rPr>
          <w:rFonts w:ascii="David" w:hAnsi="David" w:cs="Arial" w:hint="cs"/>
          <w:sz w:val="24"/>
          <w:szCs w:val="24"/>
          <w:rtl/>
          <w:lang w:bidi="ar-SA"/>
        </w:rPr>
        <w:t>ل</w:t>
      </w:r>
      <w:r w:rsidRPr="00B52A00">
        <w:rPr>
          <w:rFonts w:ascii="David" w:hAnsi="David" w:cs="Arial"/>
          <w:sz w:val="24"/>
          <w:szCs w:val="24"/>
          <w:rtl/>
          <w:lang w:bidi="ar-SA"/>
        </w:rPr>
        <w:t>لمستهلك</w:t>
      </w:r>
      <w:r>
        <w:rPr>
          <w:rStyle w:val="FootnoteReference"/>
          <w:rFonts w:ascii="David" w:hAnsi="David" w:cs="David"/>
          <w:rtl/>
        </w:rPr>
        <w:footnoteReference w:id="2"/>
      </w:r>
      <w:r w:rsidR="00BB1C9E" w:rsidRPr="00ED128A">
        <w:rPr>
          <w:rFonts w:ascii="David" w:hAnsi="David" w:cs="David" w:hint="cs"/>
          <w:sz w:val="24"/>
          <w:szCs w:val="24"/>
          <w:rtl/>
        </w:rPr>
        <w:t xml:space="preserve"> </w:t>
      </w:r>
      <w:r w:rsidR="00B52A00" w:rsidRPr="00B52A00">
        <w:rPr>
          <w:rFonts w:ascii="David" w:hAnsi="David" w:cs="Arial"/>
          <w:sz w:val="24"/>
          <w:szCs w:val="24"/>
          <w:rtl/>
          <w:lang w:bidi="ar-SA"/>
        </w:rPr>
        <w:t>بنحو 1.6%، مما أدى إلى ارتفاع قيمة الديون المقومة بالعملة الأجنبية</w:t>
      </w:r>
      <w:r>
        <w:rPr>
          <w:rFonts w:ascii="David" w:hAnsi="David" w:cs="Arial" w:hint="cs"/>
          <w:sz w:val="24"/>
          <w:szCs w:val="24"/>
          <w:rtl/>
          <w:lang w:bidi="ar-SA"/>
        </w:rPr>
        <w:t>،</w:t>
      </w:r>
      <w:r w:rsidR="00B52A00" w:rsidRPr="00B52A00">
        <w:rPr>
          <w:rFonts w:ascii="David" w:hAnsi="David" w:cs="Arial"/>
          <w:sz w:val="24"/>
          <w:szCs w:val="24"/>
          <w:rtl/>
          <w:lang w:bidi="ar-SA"/>
        </w:rPr>
        <w:t xml:space="preserve"> المرتبطة و</w:t>
      </w:r>
      <w:r>
        <w:rPr>
          <w:rFonts w:ascii="David" w:hAnsi="David" w:cs="Arial" w:hint="cs"/>
          <w:sz w:val="24"/>
          <w:szCs w:val="24"/>
          <w:rtl/>
          <w:lang w:bidi="ar-SA"/>
        </w:rPr>
        <w:t xml:space="preserve">غير </w:t>
      </w:r>
      <w:r w:rsidR="00B52A00" w:rsidRPr="00B52A00">
        <w:rPr>
          <w:rFonts w:ascii="David" w:hAnsi="David" w:cs="Arial"/>
          <w:sz w:val="24"/>
          <w:szCs w:val="24"/>
          <w:rtl/>
          <w:lang w:bidi="ar-SA"/>
        </w:rPr>
        <w:t>المرتبطة بالمؤشر</w:t>
      </w:r>
      <w:r>
        <w:rPr>
          <w:rFonts w:ascii="David" w:hAnsi="David" w:cs="Arial" w:hint="cs"/>
          <w:sz w:val="24"/>
          <w:szCs w:val="24"/>
          <w:rtl/>
          <w:lang w:bidi="ar-SA"/>
        </w:rPr>
        <w:t>.</w:t>
      </w:r>
      <w:r w:rsidR="00B52A00" w:rsidRPr="00B52A00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>
        <w:rPr>
          <w:rFonts w:ascii="David" w:hAnsi="David" w:cs="Arial" w:hint="cs"/>
          <w:sz w:val="24"/>
          <w:szCs w:val="24"/>
          <w:rtl/>
          <w:lang w:bidi="ar-SA"/>
        </w:rPr>
        <w:t>تأثرت</w:t>
      </w:r>
      <w:r w:rsidR="00B52A00" w:rsidRPr="00B52A00">
        <w:rPr>
          <w:rFonts w:ascii="David" w:hAnsi="David" w:cs="Arial"/>
          <w:sz w:val="24"/>
          <w:szCs w:val="24"/>
          <w:rtl/>
          <w:lang w:bidi="ar-SA"/>
        </w:rPr>
        <w:t xml:space="preserve"> زيادة الرصيد </w:t>
      </w:r>
      <w:r>
        <w:rPr>
          <w:rFonts w:ascii="David" w:hAnsi="David" w:cs="Arial" w:hint="cs"/>
          <w:sz w:val="24"/>
          <w:szCs w:val="24"/>
          <w:rtl/>
          <w:lang w:bidi="ar-SA"/>
        </w:rPr>
        <w:t>أيضاً ب</w:t>
      </w:r>
      <w:r w:rsidR="00B52A00" w:rsidRPr="00B52A00">
        <w:rPr>
          <w:rFonts w:ascii="David" w:hAnsi="David" w:cs="Arial"/>
          <w:sz w:val="24"/>
          <w:szCs w:val="24"/>
          <w:rtl/>
          <w:lang w:bidi="ar-SA"/>
        </w:rPr>
        <w:t>انخفاض</w:t>
      </w:r>
      <w:r>
        <w:rPr>
          <w:rFonts w:ascii="David" w:hAnsi="David" w:cs="Arial" w:hint="cs"/>
          <w:sz w:val="24"/>
          <w:szCs w:val="24"/>
          <w:rtl/>
          <w:lang w:bidi="ar-SA"/>
        </w:rPr>
        <w:t xml:space="preserve"> </w:t>
      </w:r>
      <w:r w:rsidR="00B52A00" w:rsidRPr="00B52A00">
        <w:rPr>
          <w:rFonts w:ascii="David" w:hAnsi="David" w:cs="Arial"/>
          <w:sz w:val="24"/>
          <w:szCs w:val="24"/>
          <w:rtl/>
          <w:lang w:bidi="ar-SA"/>
        </w:rPr>
        <w:t xml:space="preserve">حجم صافي الديون في </w:t>
      </w:r>
      <w:r>
        <w:rPr>
          <w:rFonts w:ascii="David" w:hAnsi="David" w:cs="Arial" w:hint="cs"/>
          <w:sz w:val="24"/>
          <w:szCs w:val="24"/>
          <w:rtl/>
          <w:lang w:bidi="ar-SA"/>
        </w:rPr>
        <w:t>مجال</w:t>
      </w:r>
      <w:r w:rsidR="00B52A00" w:rsidRPr="00B52A00">
        <w:rPr>
          <w:rFonts w:ascii="David" w:hAnsi="David" w:cs="Arial"/>
          <w:sz w:val="24"/>
          <w:szCs w:val="24"/>
          <w:rtl/>
          <w:lang w:bidi="ar-SA"/>
        </w:rPr>
        <w:t xml:space="preserve"> القروض </w:t>
      </w:r>
      <w:r>
        <w:rPr>
          <w:rFonts w:ascii="David" w:hAnsi="David" w:cs="Arial" w:hint="cs"/>
          <w:sz w:val="24"/>
          <w:szCs w:val="24"/>
          <w:rtl/>
          <w:lang w:bidi="ar-SA"/>
        </w:rPr>
        <w:t>البنكية</w:t>
      </w:r>
      <w:r w:rsidR="00B52A00" w:rsidRPr="00B52A00">
        <w:rPr>
          <w:rFonts w:ascii="David" w:hAnsi="David" w:cs="Arial"/>
          <w:sz w:val="24"/>
          <w:szCs w:val="24"/>
          <w:rtl/>
          <w:lang w:bidi="ar-SA"/>
        </w:rPr>
        <w:t xml:space="preserve">، خاصة لقطاع </w:t>
      </w:r>
      <w:r>
        <w:rPr>
          <w:rFonts w:ascii="David" w:hAnsi="David" w:cs="Arial" w:hint="cs"/>
          <w:sz w:val="24"/>
          <w:szCs w:val="24"/>
          <w:rtl/>
          <w:lang w:bidi="ar-SA"/>
        </w:rPr>
        <w:t>المصالح التجارية الكبيرة</w:t>
      </w:r>
      <w:r w:rsidR="00B52A00" w:rsidRPr="00B52A00">
        <w:rPr>
          <w:rFonts w:ascii="David" w:hAnsi="David" w:cs="Arial"/>
          <w:sz w:val="24"/>
          <w:szCs w:val="24"/>
          <w:rtl/>
          <w:lang w:bidi="ar-SA"/>
        </w:rPr>
        <w:t>، و</w:t>
      </w:r>
      <w:r>
        <w:rPr>
          <w:rFonts w:ascii="David" w:hAnsi="David" w:cs="Arial" w:hint="cs"/>
          <w:sz w:val="24"/>
          <w:szCs w:val="24"/>
          <w:rtl/>
          <w:lang w:bidi="ar-SA"/>
        </w:rPr>
        <w:t>كذلك ب</w:t>
      </w:r>
      <w:r w:rsidR="00B52A00" w:rsidRPr="00B52A00">
        <w:rPr>
          <w:rFonts w:ascii="David" w:hAnsi="David" w:cs="Arial"/>
          <w:sz w:val="24"/>
          <w:szCs w:val="24"/>
          <w:rtl/>
          <w:lang w:bidi="ar-SA"/>
        </w:rPr>
        <w:t>القروض المباشرة من الهيئات المؤسس</w:t>
      </w:r>
      <w:r>
        <w:rPr>
          <w:rFonts w:ascii="David" w:hAnsi="David" w:cs="Arial" w:hint="cs"/>
          <w:sz w:val="24"/>
          <w:szCs w:val="24"/>
          <w:rtl/>
          <w:lang w:bidi="ar-SA"/>
        </w:rPr>
        <w:t>ات</w:t>
      </w:r>
      <w:r w:rsidR="00B52A00" w:rsidRPr="00B52A00">
        <w:rPr>
          <w:rFonts w:ascii="David" w:hAnsi="David" w:cs="Arial"/>
          <w:sz w:val="24"/>
          <w:szCs w:val="24"/>
          <w:rtl/>
          <w:lang w:bidi="ar-SA"/>
        </w:rPr>
        <w:t xml:space="preserve">ية، تم تعويض هذه </w:t>
      </w:r>
      <w:r>
        <w:rPr>
          <w:rFonts w:ascii="David" w:hAnsi="David" w:cs="Arial" w:hint="cs"/>
          <w:sz w:val="24"/>
          <w:szCs w:val="24"/>
          <w:rtl/>
          <w:lang w:bidi="ar-SA"/>
        </w:rPr>
        <w:t>التأثيرات جزئياً</w:t>
      </w:r>
      <w:r w:rsidR="00B52A00" w:rsidRPr="00B52A00">
        <w:rPr>
          <w:rFonts w:ascii="David" w:hAnsi="David" w:cs="Arial"/>
          <w:sz w:val="24"/>
          <w:szCs w:val="24"/>
          <w:rtl/>
          <w:lang w:bidi="ar-SA"/>
        </w:rPr>
        <w:t xml:space="preserve"> من خلال صافي </w:t>
      </w:r>
      <w:r>
        <w:rPr>
          <w:rFonts w:ascii="David" w:hAnsi="David" w:cs="Arial" w:hint="cs"/>
          <w:sz w:val="24"/>
          <w:szCs w:val="24"/>
          <w:rtl/>
          <w:lang w:bidi="ar-SA"/>
        </w:rPr>
        <w:t>السد</w:t>
      </w:r>
      <w:r>
        <w:rPr>
          <w:rFonts w:ascii="David" w:hAnsi="David" w:cs="Arial" w:hint="cs"/>
          <w:sz w:val="24"/>
          <w:szCs w:val="24"/>
          <w:rtl/>
          <w:lang w:bidi="ar-SA"/>
        </w:rPr>
        <w:t>اد في مجال</w:t>
      </w:r>
      <w:r w:rsidR="00B52A00" w:rsidRPr="00B52A00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r>
        <w:rPr>
          <w:rFonts w:ascii="David" w:hAnsi="David" w:cs="Arial" w:hint="cs"/>
          <w:sz w:val="24"/>
          <w:szCs w:val="24"/>
          <w:rtl/>
          <w:lang w:bidi="ar-SA"/>
        </w:rPr>
        <w:t>سندات الدين</w:t>
      </w:r>
      <w:r w:rsidR="00B52A00" w:rsidRPr="00B52A00">
        <w:rPr>
          <w:rFonts w:ascii="David" w:hAnsi="David" w:cs="Arial"/>
          <w:sz w:val="24"/>
          <w:szCs w:val="24"/>
          <w:rtl/>
          <w:lang w:bidi="ar-SA"/>
        </w:rPr>
        <w:t xml:space="preserve"> القابلة </w:t>
      </w:r>
      <w:r>
        <w:rPr>
          <w:rFonts w:ascii="David" w:hAnsi="David" w:cs="Arial" w:hint="cs"/>
          <w:sz w:val="24"/>
          <w:szCs w:val="24"/>
          <w:rtl/>
          <w:lang w:bidi="ar-SA"/>
        </w:rPr>
        <w:t>للتداول</w:t>
      </w:r>
      <w:r w:rsidR="00B52A00" w:rsidRPr="00B52A00">
        <w:rPr>
          <w:rFonts w:ascii="David" w:hAnsi="David" w:cs="Arial"/>
          <w:sz w:val="24"/>
          <w:szCs w:val="24"/>
          <w:rtl/>
          <w:lang w:bidi="ar-SA"/>
        </w:rPr>
        <w:t xml:space="preserve"> في </w:t>
      </w:r>
      <w:r>
        <w:rPr>
          <w:rFonts w:ascii="David" w:hAnsi="David" w:cs="Arial" w:hint="cs"/>
          <w:sz w:val="24"/>
          <w:szCs w:val="24"/>
          <w:rtl/>
          <w:lang w:bidi="ar-SA"/>
        </w:rPr>
        <w:t>البلاد</w:t>
      </w:r>
      <w:r w:rsidR="00B52A00" w:rsidRPr="00B52A00">
        <w:rPr>
          <w:rFonts w:ascii="David" w:hAnsi="David" w:cs="Arial"/>
          <w:sz w:val="24"/>
          <w:szCs w:val="24"/>
          <w:rtl/>
          <w:lang w:bidi="ar-SA"/>
        </w:rPr>
        <w:t xml:space="preserve"> و</w:t>
      </w:r>
      <w:r>
        <w:rPr>
          <w:rFonts w:ascii="David" w:hAnsi="David" w:cs="Arial" w:hint="cs"/>
          <w:sz w:val="24"/>
          <w:szCs w:val="24"/>
          <w:rtl/>
          <w:lang w:bidi="ar-SA"/>
        </w:rPr>
        <w:t xml:space="preserve">جمع </w:t>
      </w:r>
      <w:r w:rsidR="00B52A00" w:rsidRPr="00B52A00">
        <w:rPr>
          <w:rFonts w:ascii="David" w:hAnsi="David" w:cs="Arial"/>
          <w:sz w:val="24"/>
          <w:szCs w:val="24"/>
          <w:rtl/>
          <w:lang w:bidi="ar-SA"/>
        </w:rPr>
        <w:t>الديون في الخارج (السندات والقروض). (الشكل 1).</w:t>
      </w:r>
    </w:p>
    <w:p w:rsidR="00457394" w:rsidRPr="00FC6105" w:rsidRDefault="003C5F2C" w:rsidP="00FE7396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Times New Roman"/>
          <w:sz w:val="24"/>
          <w:szCs w:val="24"/>
          <w:rtl/>
          <w:lang w:bidi="ar-SA"/>
        </w:rPr>
        <w:t xml:space="preserve">انخفض معدل النمو السنوي لرصيد </w:t>
      </w:r>
      <w:r w:rsidR="00B52A00"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ديون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ا</w:t>
      </w:r>
      <w:r w:rsidR="00B52A00"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لمقرضين غير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البنكيين</w:t>
      </w:r>
      <w:r w:rsidR="00B52A00"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في هذا الربع ليبلغ حوالي 1% مقارنة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ب</w:t>
      </w:r>
      <w:r w:rsidR="00B52A00" w:rsidRPr="00B52A00">
        <w:rPr>
          <w:rFonts w:ascii="David" w:hAnsi="David" w:cs="Times New Roman"/>
          <w:sz w:val="24"/>
          <w:szCs w:val="24"/>
          <w:rtl/>
          <w:lang w:bidi="ar-SA"/>
        </w:rPr>
        <w:t>حوالي 4% في الربع السابق. واستمر معدل النمو السنوي للديون المستحقة للبنو</w:t>
      </w:r>
      <w:r>
        <w:rPr>
          <w:rFonts w:ascii="David" w:hAnsi="David" w:cs="Times New Roman"/>
          <w:sz w:val="24"/>
          <w:szCs w:val="24"/>
          <w:rtl/>
          <w:lang w:bidi="ar-SA"/>
        </w:rPr>
        <w:t>ك في الانخفاض في هذا الربع أيض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اً</w:t>
      </w:r>
      <w:r w:rsidR="00B52A00"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بعد الانخفاض الذي بدأ في النصف الثاني من</w:t>
      </w:r>
      <w:r>
        <w:rPr>
          <w:rFonts w:ascii="David" w:hAnsi="David" w:cs="Times New Roman"/>
          <w:sz w:val="24"/>
          <w:szCs w:val="24"/>
          <w:rtl/>
          <w:lang w:bidi="ar-SA"/>
        </w:rPr>
        <w:t xml:space="preserve"> عام 2022، لكنه لا يزال إيجابي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اً</w:t>
      </w:r>
      <w:r w:rsidR="00B52A00"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(حوالي 5٪). نلاحظ أنه في السنوات الخمس الأخيرة، كان معدل النمو السنوي في رصيد الدين للبنوك أعلى من معدل النمو السنوي في رصيد الدين للمقرضين غير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البنكيين</w:t>
      </w:r>
      <w:r w:rsidR="00B52A00" w:rsidRPr="00B52A00">
        <w:rPr>
          <w:rFonts w:ascii="David" w:hAnsi="David" w:cs="Times New Roman"/>
          <w:sz w:val="24"/>
          <w:szCs w:val="24"/>
          <w:rtl/>
          <w:lang w:bidi="ar-SA"/>
        </w:rPr>
        <w:t>. (الشكل 2).</w:t>
      </w:r>
    </w:p>
    <w:p w:rsidR="00693EF0" w:rsidRPr="009266DA" w:rsidRDefault="003C5F2C" w:rsidP="008379EC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في الربع الثاني من العام، </w:t>
      </w:r>
      <w:r w:rsidRPr="00FE7396">
        <w:rPr>
          <w:rFonts w:ascii="David" w:hAnsi="David" w:cs="Arial"/>
          <w:b/>
          <w:bCs/>
          <w:sz w:val="24"/>
          <w:szCs w:val="24"/>
          <w:rtl/>
          <w:lang w:bidi="ar-SA"/>
        </w:rPr>
        <w:t>أصدر قطاع الأعمال</w:t>
      </w:r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 سندات بقيمة حوالي 9 مليار شيكل، أي أقل بكثير من المعدل الفصلي للأرباع الأربعة السابقة (حوالي 14 مليار في المتوسط ​​لكل ربع). تم تنفيذ حوالي 63% من الإصدارات في هذا الربع من قبل شركات </w:t>
      </w:r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من قطاع العقارات والبناء، </w:t>
      </w:r>
      <w:r w:rsidR="00FE7396">
        <w:rPr>
          <w:rFonts w:ascii="David" w:hAnsi="David" w:cs="Arial" w:hint="cs"/>
          <w:sz w:val="24"/>
          <w:szCs w:val="24"/>
          <w:rtl/>
          <w:lang w:bidi="ar-SA"/>
        </w:rPr>
        <w:t>وهو القطاع</w:t>
      </w:r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 ال</w:t>
      </w:r>
      <w:r w:rsidR="00FE7396">
        <w:rPr>
          <w:rFonts w:ascii="David" w:hAnsi="David" w:cs="Arial" w:hint="cs"/>
          <w:sz w:val="24"/>
          <w:szCs w:val="24"/>
          <w:rtl/>
          <w:lang w:bidi="ar-SA"/>
        </w:rPr>
        <w:t>ذ</w:t>
      </w:r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ي لا </w:t>
      </w:r>
      <w:r w:rsidR="00FE7396">
        <w:rPr>
          <w:rFonts w:ascii="David" w:hAnsi="David" w:cs="Arial" w:hint="cs"/>
          <w:sz w:val="24"/>
          <w:szCs w:val="24"/>
          <w:rtl/>
          <w:lang w:bidi="ar-SA"/>
        </w:rPr>
        <w:t>ي</w:t>
      </w:r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زال تقود </w:t>
      </w:r>
      <w:r w:rsidR="00FE7396">
        <w:rPr>
          <w:rFonts w:ascii="David" w:hAnsi="David" w:cs="Arial" w:hint="cs"/>
          <w:sz w:val="24"/>
          <w:szCs w:val="24"/>
          <w:rtl/>
          <w:lang w:bidi="ar-SA"/>
        </w:rPr>
        <w:t xml:space="preserve">جمع </w:t>
      </w:r>
      <w:r w:rsidR="008379EC">
        <w:rPr>
          <w:rFonts w:ascii="David" w:hAnsi="David" w:cs="Arial" w:hint="cs"/>
          <w:sz w:val="24"/>
          <w:szCs w:val="24"/>
          <w:rtl/>
          <w:lang w:bidi="ar-SA"/>
        </w:rPr>
        <w:t>السندات</w:t>
      </w:r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 على غرار السنوات السابقة (الشكل 3).</w:t>
      </w:r>
    </w:p>
    <w:p w:rsidR="002A51F1" w:rsidRPr="001B7F02" w:rsidRDefault="003C5F2C" w:rsidP="00FE7396">
      <w:pPr>
        <w:pStyle w:val="ListParagraph"/>
        <w:bidi/>
        <w:spacing w:line="360" w:lineRule="auto"/>
        <w:jc w:val="both"/>
        <w:rPr>
          <w:rFonts w:ascii="David" w:hAnsi="David" w:cs="David"/>
          <w:sz w:val="24"/>
          <w:szCs w:val="24"/>
          <w:highlight w:val="yellow"/>
        </w:rPr>
      </w:pP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حتى في الأشهر من تموز إلى آب 2024، واصلت شركات قطاع العقارات والبناء الريادة في جمع </w:t>
      </w:r>
      <w:r w:rsidR="00FE7396">
        <w:rPr>
          <w:rFonts w:ascii="David" w:hAnsi="David" w:cs="Times New Roman" w:hint="cs"/>
          <w:sz w:val="24"/>
          <w:szCs w:val="24"/>
          <w:rtl/>
          <w:lang w:bidi="ar-SA"/>
        </w:rPr>
        <w:t>الديون،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حيث </w:t>
      </w:r>
      <w:r w:rsidR="00FE7396">
        <w:rPr>
          <w:rFonts w:ascii="David" w:hAnsi="David" w:cs="Times New Roman" w:hint="cs"/>
          <w:sz w:val="24"/>
          <w:szCs w:val="24"/>
          <w:rtl/>
          <w:lang w:bidi="ar-SA"/>
        </w:rPr>
        <w:t>جمعت هذه الشركات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ما يقرب من 63% من إجمالي جمع </w:t>
      </w:r>
      <w:r w:rsidR="00FE7396">
        <w:rPr>
          <w:rFonts w:ascii="David" w:hAnsi="David" w:cs="Times New Roman" w:hint="cs"/>
          <w:sz w:val="24"/>
          <w:szCs w:val="24"/>
          <w:rtl/>
          <w:lang w:bidi="ar-SA"/>
        </w:rPr>
        <w:t>الديون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البالغ حوالي 11 مليار شيكل في هذه الأشهر.</w:t>
      </w:r>
    </w:p>
    <w:p w:rsidR="00E44E3D" w:rsidRPr="00A877F1" w:rsidRDefault="003C5F2C" w:rsidP="00FE7396">
      <w:pPr>
        <w:pStyle w:val="ListParagraph"/>
        <w:numPr>
          <w:ilvl w:val="0"/>
          <w:numId w:val="8"/>
        </w:numPr>
        <w:bidi/>
        <w:spacing w:before="240" w:after="120" w:line="360" w:lineRule="auto"/>
        <w:jc w:val="both"/>
        <w:rPr>
          <w:rFonts w:ascii="David" w:hAnsi="David" w:cs="David"/>
          <w:sz w:val="24"/>
          <w:szCs w:val="24"/>
        </w:rPr>
      </w:pPr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في الربع الثاني من العام، تقلص </w:t>
      </w:r>
      <w:r w:rsidRPr="00FE7396">
        <w:rPr>
          <w:rFonts w:ascii="David" w:hAnsi="David" w:cs="Arial" w:hint="cs"/>
          <w:b/>
          <w:bCs/>
          <w:sz w:val="24"/>
          <w:szCs w:val="24"/>
          <w:rtl/>
          <w:lang w:bidi="ar-SA"/>
        </w:rPr>
        <w:t>الهامش</w:t>
      </w:r>
      <w:r>
        <w:rPr>
          <w:rStyle w:val="FootnoteReference"/>
          <w:rFonts w:ascii="David" w:hAnsi="David" w:cs="David"/>
          <w:b/>
          <w:bCs/>
          <w:sz w:val="24"/>
          <w:szCs w:val="24"/>
          <w:rtl/>
        </w:rPr>
        <w:footnoteReference w:id="3"/>
      </w:r>
      <w:r w:rsidR="00884ED4" w:rsidRPr="00022AB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52A00" w:rsidRPr="00FE7396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بين عائد سندات الشركات المدرجة في مؤشر </w:t>
      </w:r>
      <w:r w:rsidRPr="00FE7396">
        <w:rPr>
          <w:rFonts w:ascii="David" w:hAnsi="David" w:cs="Arial" w:hint="cs"/>
          <w:b/>
          <w:bCs/>
          <w:sz w:val="24"/>
          <w:szCs w:val="24"/>
          <w:rtl/>
          <w:lang w:bidi="ar-SA"/>
        </w:rPr>
        <w:t>تل بوند 60</w:t>
      </w:r>
      <w:r w:rsidR="00B52A00" w:rsidRPr="00FE7396">
        <w:rPr>
          <w:rFonts w:ascii="David" w:hAnsi="David" w:cs="Arial"/>
          <w:b/>
          <w:bCs/>
          <w:sz w:val="24"/>
          <w:szCs w:val="24"/>
          <w:rtl/>
          <w:lang w:bidi="ar-SA"/>
        </w:rPr>
        <w:t>، وعائد السندات الحكومية المرتبطة</w:t>
      </w:r>
      <w:r w:rsidRPr="00FE7396">
        <w:rPr>
          <w:rFonts w:ascii="David" w:hAnsi="David" w:cs="Arial" w:hint="cs"/>
          <w:b/>
          <w:bCs/>
          <w:sz w:val="24"/>
          <w:szCs w:val="24"/>
          <w:rtl/>
          <w:lang w:bidi="ar-SA"/>
        </w:rPr>
        <w:t xml:space="preserve"> بالمؤشر</w:t>
      </w:r>
      <w:r w:rsidR="00B52A00" w:rsidRPr="00B52A00">
        <w:rPr>
          <w:rFonts w:ascii="David" w:hAnsi="David" w:cs="Arial"/>
          <w:sz w:val="24"/>
          <w:szCs w:val="24"/>
          <w:rtl/>
          <w:lang w:bidi="ar-SA"/>
        </w:rPr>
        <w:t xml:space="preserve"> قليلاً إلى حوالي 1.15 نقطة مئوية</w:t>
      </w:r>
      <w:r>
        <w:rPr>
          <w:rFonts w:ascii="David" w:hAnsi="David" w:cs="Arial" w:hint="cs"/>
          <w:sz w:val="24"/>
          <w:szCs w:val="24"/>
          <w:rtl/>
          <w:lang w:bidi="ar-SA"/>
        </w:rPr>
        <w:t>؛</w:t>
      </w:r>
      <w:r w:rsidR="00B52A00" w:rsidRPr="00B52A00">
        <w:rPr>
          <w:rFonts w:ascii="David" w:hAnsi="David" w:cs="Arial"/>
          <w:sz w:val="24"/>
          <w:szCs w:val="24"/>
          <w:rtl/>
          <w:lang w:bidi="ar-SA"/>
        </w:rPr>
        <w:t xml:space="preserve"> لكن ابتداء من حزيران 2024، اتسع هذا الهامش للمرة الأولى منذ تشرين الأول 2023 على خلفية حرب "السيوف الحديدية"، ليصل إلى مستوى يقارب 1.21 نقطة مئوية في آب. (الشكل 4).</w:t>
      </w:r>
    </w:p>
    <w:p w:rsidR="00FE7396" w:rsidRDefault="003C5F2C" w:rsidP="00FE7396">
      <w:pPr>
        <w:pStyle w:val="NormalWeb"/>
        <w:tabs>
          <w:tab w:val="left" w:pos="2122"/>
          <w:tab w:val="center" w:pos="4516"/>
        </w:tabs>
        <w:bidi/>
        <w:spacing w:before="0" w:beforeAutospacing="0" w:after="0" w:afterAutospacing="0" w:line="360" w:lineRule="auto"/>
        <w:ind w:left="720"/>
        <w:rPr>
          <w:rFonts w:ascii="David" w:hAnsi="David"/>
          <w:b/>
          <w:bCs/>
          <w:rtl/>
          <w:lang w:bidi="ar-SA"/>
        </w:rPr>
      </w:pPr>
      <w:r>
        <w:rPr>
          <w:rFonts w:ascii="David" w:hAnsi="David" w:cs="David"/>
          <w:b/>
          <w:bCs/>
          <w:rtl/>
        </w:rPr>
        <w:tab/>
      </w:r>
      <w:r>
        <w:rPr>
          <w:rFonts w:ascii="David" w:hAnsi="David" w:cs="David"/>
          <w:b/>
          <w:bCs/>
          <w:rtl/>
        </w:rPr>
        <w:tab/>
      </w:r>
      <w:r w:rsidRPr="00B52A00">
        <w:rPr>
          <w:rFonts w:ascii="David" w:hAnsi="David"/>
          <w:b/>
          <w:bCs/>
          <w:rtl/>
          <w:lang w:bidi="ar-SA"/>
        </w:rPr>
        <w:t xml:space="preserve"> </w:t>
      </w:r>
    </w:p>
    <w:p w:rsidR="00F21AEA" w:rsidRPr="00CB7E9A" w:rsidRDefault="003C5F2C" w:rsidP="00FE7396">
      <w:pPr>
        <w:pStyle w:val="NormalWeb"/>
        <w:tabs>
          <w:tab w:val="left" w:pos="2122"/>
          <w:tab w:val="center" w:pos="4516"/>
        </w:tabs>
        <w:bidi/>
        <w:spacing w:before="0" w:beforeAutospacing="0" w:after="0" w:afterAutospacing="0" w:line="360" w:lineRule="auto"/>
        <w:ind w:left="720"/>
        <w:jc w:val="center"/>
        <w:rPr>
          <w:rFonts w:ascii="David" w:hAnsi="David" w:cs="David"/>
          <w:rtl/>
        </w:rPr>
      </w:pPr>
      <w:r w:rsidRPr="00B52A00">
        <w:rPr>
          <w:rFonts w:ascii="David" w:hAnsi="David"/>
          <w:b/>
          <w:bCs/>
          <w:rtl/>
          <w:lang w:bidi="ar-SA"/>
        </w:rPr>
        <w:t>الجدول 1: توز</w:t>
      </w:r>
      <w:r>
        <w:rPr>
          <w:rFonts w:ascii="David" w:hAnsi="David"/>
          <w:b/>
          <w:bCs/>
          <w:rtl/>
          <w:lang w:bidi="ar-SA"/>
        </w:rPr>
        <w:t>يع ديون قطاع الأعمال غير المالي</w:t>
      </w:r>
      <w:r w:rsidRPr="00B52A00">
        <w:rPr>
          <w:rFonts w:ascii="David" w:hAnsi="David"/>
          <w:b/>
          <w:bCs/>
          <w:rtl/>
          <w:lang w:bidi="ar-SA"/>
        </w:rPr>
        <w:t xml:space="preserve"> </w:t>
      </w:r>
      <w:r w:rsidR="0012175B" w:rsidRPr="00CB7E9A">
        <w:rPr>
          <w:rFonts w:ascii="David" w:hAnsi="David" w:cs="David"/>
          <w:sz w:val="22"/>
          <w:szCs w:val="22"/>
          <w:vertAlign w:val="superscript"/>
          <w:rtl/>
        </w:rPr>
        <w:t>1</w:t>
      </w:r>
    </w:p>
    <w:p w:rsidR="002A60C4" w:rsidRPr="00E44C3B" w:rsidRDefault="003C5F2C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rtl/>
        </w:rPr>
      </w:pPr>
      <w:r>
        <w:rPr>
          <w:noProof/>
        </w:rPr>
        <w:lastRenderedPageBreak/>
        <w:drawing>
          <wp:inline distT="0" distB="0" distL="0" distR="0">
            <wp:extent cx="6005830" cy="231902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83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E61" w:rsidRPr="00B52A00" w:rsidRDefault="003C5F2C" w:rsidP="0057037A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Arial"/>
          <w:lang w:bidi="ar-SA"/>
        </w:rPr>
      </w:pPr>
      <w:r w:rsidRPr="00B52A00">
        <w:rPr>
          <w:rFonts w:ascii="David" w:hAnsi="David" w:cs="Arial"/>
          <w:b/>
          <w:bCs/>
          <w:rtl/>
          <w:lang w:bidi="ar-SA"/>
        </w:rPr>
        <w:t xml:space="preserve">الشكل 1: </w:t>
      </w:r>
      <w:r w:rsidR="0057037A">
        <w:rPr>
          <w:rFonts w:ascii="David" w:hAnsi="David" w:cs="Arial" w:hint="cs"/>
          <w:b/>
          <w:bCs/>
          <w:rtl/>
          <w:lang w:bidi="ar-SA"/>
        </w:rPr>
        <w:t>تقدير تحركات</w:t>
      </w:r>
      <w:r w:rsidR="0057037A">
        <w:rPr>
          <w:rFonts w:ascii="David" w:hAnsi="David" w:cs="Arial"/>
          <w:b/>
          <w:bCs/>
          <w:rtl/>
          <w:lang w:bidi="ar-SA"/>
        </w:rPr>
        <w:t xml:space="preserve"> </w:t>
      </w:r>
      <w:r w:rsidRPr="00B52A00">
        <w:rPr>
          <w:rFonts w:ascii="David" w:hAnsi="David" w:cs="Arial"/>
          <w:b/>
          <w:bCs/>
          <w:rtl/>
          <w:lang w:bidi="ar-SA"/>
        </w:rPr>
        <w:t xml:space="preserve">إجمالي ديون </w:t>
      </w:r>
      <w:r w:rsidRPr="00B52A00">
        <w:rPr>
          <w:rFonts w:ascii="David" w:hAnsi="David" w:cs="Arial"/>
          <w:b/>
          <w:bCs/>
          <w:rtl/>
          <w:lang w:bidi="ar-SA"/>
        </w:rPr>
        <w:t>قطاع الأعمال غير المالي</w:t>
      </w:r>
    </w:p>
    <w:p w:rsidR="002A60C4" w:rsidRPr="00E44C3B" w:rsidRDefault="003C5F2C" w:rsidP="00AC3E61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US"/>
        </w:rPr>
        <w:drawing>
          <wp:inline distT="0" distB="0" distL="0" distR="0">
            <wp:extent cx="4389120" cy="2450465"/>
            <wp:effectExtent l="0" t="0" r="0" b="0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03" w:rsidRDefault="00FF4A03" w:rsidP="00FF4A03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675551" w:rsidRPr="00B52A00" w:rsidRDefault="003C5F2C" w:rsidP="0057037A">
      <w:pPr>
        <w:bidi/>
        <w:spacing w:line="360" w:lineRule="auto"/>
        <w:jc w:val="center"/>
        <w:rPr>
          <w:rFonts w:ascii="David" w:hAnsi="David" w:cs="Arial"/>
          <w:b/>
          <w:bCs/>
          <w:sz w:val="24"/>
          <w:szCs w:val="24"/>
          <w:rtl/>
          <w:lang w:bidi="ar-SA"/>
        </w:rPr>
      </w:pPr>
      <w:r>
        <w:rPr>
          <w:rFonts w:ascii="David" w:hAnsi="David" w:cs="Arial" w:hint="cs"/>
          <w:b/>
          <w:bCs/>
          <w:sz w:val="24"/>
          <w:szCs w:val="24"/>
          <w:rtl/>
          <w:lang w:bidi="ar-SA"/>
        </w:rPr>
        <w:t>ال</w:t>
      </w:r>
      <w:r w:rsidR="00B52A00" w:rsidRPr="00B52A00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شكل 2: معدلات التغير مقارنة بالربع المقابل من العام السابق في الديون </w:t>
      </w:r>
      <w:r>
        <w:rPr>
          <w:rFonts w:ascii="David" w:hAnsi="David" w:cs="Arial" w:hint="cs"/>
          <w:b/>
          <w:bCs/>
          <w:sz w:val="24"/>
          <w:szCs w:val="24"/>
          <w:rtl/>
          <w:lang w:bidi="ar-SA"/>
        </w:rPr>
        <w:t>البنكية</w:t>
      </w:r>
      <w:r w:rsidR="00B52A00" w:rsidRPr="00B52A00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وغير </w:t>
      </w:r>
      <w:r>
        <w:rPr>
          <w:rFonts w:ascii="David" w:hAnsi="David" w:cs="Arial" w:hint="cs"/>
          <w:b/>
          <w:bCs/>
          <w:sz w:val="24"/>
          <w:szCs w:val="24"/>
          <w:rtl/>
          <w:lang w:bidi="ar-SA"/>
        </w:rPr>
        <w:t>البنكية</w:t>
      </w:r>
      <w:r w:rsidR="00B52A00" w:rsidRPr="00B52A00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لقطاع الأعمال غير المالي</w:t>
      </w:r>
    </w:p>
    <w:p w:rsidR="00675551" w:rsidRPr="00E44C3B" w:rsidRDefault="003C5F2C" w:rsidP="00675551">
      <w:pPr>
        <w:bidi/>
        <w:spacing w:line="360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noProof/>
          <w:lang w:eastAsia="en-US"/>
        </w:rPr>
        <w:drawing>
          <wp:inline distT="0" distB="0" distL="0" distR="0">
            <wp:extent cx="4366895" cy="2538095"/>
            <wp:effectExtent l="0" t="0" r="0" b="0"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95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ED" w:rsidRDefault="00BD2EED" w:rsidP="00BD2EED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20745C" w:rsidRDefault="0020745C" w:rsidP="0020745C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20745C" w:rsidRDefault="0020745C" w:rsidP="0020745C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20745C" w:rsidRDefault="0020745C" w:rsidP="0020745C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20745C" w:rsidRDefault="0020745C" w:rsidP="0020745C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20745C" w:rsidRDefault="0020745C" w:rsidP="0020745C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20745C" w:rsidRDefault="0020745C" w:rsidP="0020745C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D33B21" w:rsidRDefault="00D33B21" w:rsidP="00D33B2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D33B21" w:rsidRDefault="00D33B21" w:rsidP="00D33B2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D33B21" w:rsidRDefault="00D33B21" w:rsidP="00D33B2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D33B21" w:rsidRDefault="00D33B21" w:rsidP="00D33B2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D33B21" w:rsidRDefault="00D33B21" w:rsidP="00D33B2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20745C" w:rsidRDefault="0020745C" w:rsidP="0020745C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AC3E61" w:rsidRPr="00CB7E9A" w:rsidRDefault="003C5F2C" w:rsidP="0057037A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Times New Roman"/>
          <w:b/>
          <w:bCs/>
          <w:sz w:val="24"/>
          <w:szCs w:val="24"/>
          <w:rtl/>
          <w:lang w:bidi="ar-SA"/>
        </w:rPr>
        <w:t>الشكل 3: إصدار</w:t>
      </w:r>
      <w:r w:rsidR="00B52A00" w:rsidRPr="00B52A00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ا</w:t>
      </w:r>
      <w:r>
        <w:rPr>
          <w:rFonts w:ascii="David" w:hAnsi="David" w:cs="Times New Roman"/>
          <w:b/>
          <w:bCs/>
          <w:sz w:val="24"/>
          <w:szCs w:val="24"/>
          <w:rtl/>
          <w:lang w:bidi="ar-SA"/>
        </w:rPr>
        <w:t>لسندات لقطاع الأعمال غير المالي</w:t>
      </w:r>
      <w:r w:rsidR="00B52A00" w:rsidRPr="00B52A00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 خلال الربع، </w:t>
      </w:r>
      <w:r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ب</w:t>
      </w:r>
      <w:r w:rsidR="00B52A00" w:rsidRPr="00B52A00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حسب </w:t>
      </w:r>
      <w:r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فروع القطاع</w:t>
      </w:r>
    </w:p>
    <w:p w:rsidR="00F83505" w:rsidRPr="00E44C3B" w:rsidRDefault="003C5F2C" w:rsidP="001F1E1B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US"/>
        </w:rPr>
        <w:drawing>
          <wp:inline distT="0" distB="0" distL="0" distR="0">
            <wp:extent cx="4191635" cy="2574925"/>
            <wp:effectExtent l="0" t="0" r="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A03" w:rsidRDefault="00FF4A03" w:rsidP="00FF4A03">
      <w:pPr>
        <w:pStyle w:val="ListParagraph"/>
        <w:bidi/>
        <w:spacing w:line="360" w:lineRule="auto"/>
        <w:ind w:left="360" w:right="-101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B52A00" w:rsidRPr="0057037A" w:rsidRDefault="003C5F2C" w:rsidP="0057037A">
      <w:pPr>
        <w:pStyle w:val="ListParagraph"/>
        <w:bidi/>
        <w:spacing w:line="360" w:lineRule="auto"/>
        <w:ind w:left="360" w:right="-101"/>
        <w:jc w:val="center"/>
        <w:rPr>
          <w:rFonts w:ascii="David" w:hAnsi="David" w:cs="Arial"/>
          <w:b/>
          <w:bCs/>
          <w:sz w:val="24"/>
          <w:szCs w:val="24"/>
          <w:rtl/>
        </w:rPr>
      </w:pPr>
      <w:r w:rsidRPr="00B52A00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الشكل 4: </w:t>
      </w:r>
      <w:r w:rsidR="0057037A">
        <w:rPr>
          <w:rFonts w:ascii="David" w:hAnsi="David" w:cs="Arial" w:hint="cs"/>
          <w:b/>
          <w:bCs/>
          <w:sz w:val="24"/>
          <w:szCs w:val="24"/>
          <w:rtl/>
          <w:lang w:bidi="ar-SA"/>
        </w:rPr>
        <w:t>الهامش</w:t>
      </w:r>
      <w:r w:rsidRPr="00B52A00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بين سندات الشركات المرتبطة</w:t>
      </w:r>
      <w:r w:rsidR="008379EC">
        <w:rPr>
          <w:rFonts w:ascii="David" w:hAnsi="David" w:cs="Arial" w:hint="cs"/>
          <w:b/>
          <w:bCs/>
          <w:sz w:val="24"/>
          <w:szCs w:val="24"/>
          <w:rtl/>
          <w:lang w:bidi="ar-SA"/>
        </w:rPr>
        <w:t xml:space="preserve"> بالمؤشر</w:t>
      </w:r>
      <w:r w:rsidRPr="00B52A00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(</w:t>
      </w:r>
      <w:r w:rsidR="0057037A">
        <w:rPr>
          <w:rFonts w:ascii="David" w:hAnsi="David" w:cs="Arial" w:hint="cs"/>
          <w:b/>
          <w:bCs/>
          <w:sz w:val="24"/>
          <w:szCs w:val="24"/>
          <w:rtl/>
          <w:lang w:bidi="ar-SA"/>
        </w:rPr>
        <w:t>تل بوند 60</w:t>
      </w:r>
      <w:r w:rsidRPr="00B52A00">
        <w:rPr>
          <w:rFonts w:ascii="David" w:hAnsi="David" w:cs="Arial"/>
          <w:b/>
          <w:bCs/>
          <w:sz w:val="24"/>
          <w:szCs w:val="24"/>
          <w:rtl/>
          <w:lang w:bidi="ar-SA"/>
        </w:rPr>
        <w:t>) والسندات الحكومية المرتبطة</w:t>
      </w:r>
      <w:r w:rsidR="0057037A">
        <w:rPr>
          <w:rFonts w:ascii="David" w:hAnsi="David" w:cs="Arial" w:hint="cs"/>
          <w:b/>
          <w:bCs/>
          <w:sz w:val="24"/>
          <w:szCs w:val="24"/>
          <w:rtl/>
          <w:lang w:bidi="ar-SA"/>
        </w:rPr>
        <w:t xml:space="preserve"> بالمؤشر </w:t>
      </w:r>
      <w:r w:rsidR="0057037A" w:rsidRPr="0057037A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(معدل </w:t>
      </w:r>
      <w:r w:rsidRPr="0057037A">
        <w:rPr>
          <w:rFonts w:ascii="David" w:hAnsi="David" w:cs="Arial"/>
          <w:b/>
          <w:bCs/>
          <w:sz w:val="24"/>
          <w:szCs w:val="24"/>
          <w:rtl/>
          <w:lang w:bidi="ar-SA"/>
        </w:rPr>
        <w:t>شهري)</w:t>
      </w:r>
    </w:p>
    <w:p w:rsidR="00522BB0" w:rsidRPr="00E44C3B" w:rsidRDefault="003C5F2C" w:rsidP="00522BB0">
      <w:pPr>
        <w:pStyle w:val="ListParagraph"/>
        <w:bidi/>
        <w:spacing w:line="360" w:lineRule="auto"/>
        <w:ind w:left="-52" w:right="-101"/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noProof/>
          <w:lang w:eastAsia="en-US"/>
        </w:rPr>
        <w:drawing>
          <wp:inline distT="0" distB="0" distL="0" distR="0">
            <wp:extent cx="5281295" cy="3452495"/>
            <wp:effectExtent l="0" t="0" r="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34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BB0" w:rsidRPr="00E44C3B" w:rsidRDefault="00522BB0" w:rsidP="00522BB0">
      <w:pPr>
        <w:pStyle w:val="ListParagraph"/>
        <w:bidi/>
        <w:spacing w:line="360" w:lineRule="auto"/>
        <w:ind w:left="360" w:right="-101"/>
        <w:jc w:val="center"/>
        <w:rPr>
          <w:rFonts w:ascii="Arial" w:hAnsi="Arial" w:cs="Arial"/>
          <w:sz w:val="24"/>
          <w:szCs w:val="24"/>
          <w:u w:val="single"/>
          <w:rtl/>
        </w:rPr>
      </w:pPr>
    </w:p>
    <w:p w:rsidR="009F574F" w:rsidRPr="000E2E0B" w:rsidRDefault="003C5F2C" w:rsidP="00B52A00">
      <w:pPr>
        <w:pStyle w:val="ListParagraph"/>
        <w:numPr>
          <w:ilvl w:val="0"/>
          <w:numId w:val="18"/>
        </w:numPr>
        <w:bidi/>
        <w:spacing w:line="360" w:lineRule="auto"/>
        <w:jc w:val="both"/>
        <w:rPr>
          <w:rStyle w:val="Heading1Char"/>
          <w:rFonts w:ascii="David" w:hAnsi="David" w:cs="David"/>
        </w:rPr>
      </w:pPr>
      <w:r>
        <w:rPr>
          <w:rStyle w:val="Heading1Char"/>
          <w:rFonts w:ascii="David" w:hAnsi="David"/>
          <w:rtl/>
          <w:lang w:bidi="ar-SA"/>
        </w:rPr>
        <w:t>ديون الأسر</w:t>
      </w:r>
    </w:p>
    <w:p w:rsidR="00647C7D" w:rsidRPr="00647C7D" w:rsidRDefault="003C5F2C" w:rsidP="00637ECD">
      <w:pPr>
        <w:pStyle w:val="ListParagraph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  <w:rtl/>
        </w:rPr>
      </w:pP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في الربع الثاني من عام 2024، </w:t>
      </w:r>
      <w:r w:rsidRPr="00637ECD">
        <w:rPr>
          <w:rFonts w:ascii="David" w:hAnsi="David" w:cs="Times New Roman"/>
          <w:b/>
          <w:bCs/>
          <w:sz w:val="24"/>
          <w:szCs w:val="24"/>
          <w:rtl/>
          <w:lang w:bidi="ar-SA"/>
        </w:rPr>
        <w:t>استمر رصيد ديون الأسر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في النمو بنحو 12 مليار شيكل (2%) ليصل إلى حوالي 812 مليار: </w:t>
      </w:r>
      <w:r w:rsidR="00637ECD">
        <w:rPr>
          <w:rFonts w:ascii="David" w:hAnsi="David" w:cs="Times New Roman" w:hint="cs"/>
          <w:sz w:val="24"/>
          <w:szCs w:val="24"/>
          <w:rtl/>
          <w:lang w:bidi="ar-SA"/>
        </w:rPr>
        <w:t xml:space="preserve">ترجع 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الزيادة الرئيسية إلى </w:t>
      </w:r>
      <w:r w:rsidRPr="00637ECD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رصيد </w:t>
      </w:r>
      <w:r w:rsidR="00637ECD" w:rsidRPr="00637ECD"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>الديون للإسكان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، </w:t>
      </w:r>
      <w:r w:rsidR="00637ECD">
        <w:rPr>
          <w:rFonts w:ascii="David" w:hAnsi="David" w:cs="Times New Roman" w:hint="cs"/>
          <w:sz w:val="24"/>
          <w:szCs w:val="24"/>
          <w:rtl/>
          <w:lang w:bidi="ar-SA"/>
        </w:rPr>
        <w:t>و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معظمه للبنوك، والذي ارتفع في هذا الربع بنسبة أعلى مما كانت عليه في الربع السابق - حوالي - 2% مقابل 1%؛ ارتفع رصيد الديون </w:t>
      </w:r>
      <w:r w:rsidRPr="00637ECD">
        <w:rPr>
          <w:rFonts w:ascii="David" w:hAnsi="David" w:cs="Times New Roman"/>
          <w:b/>
          <w:bCs/>
          <w:sz w:val="24"/>
          <w:szCs w:val="24"/>
          <w:rtl/>
          <w:lang w:bidi="ar-SA"/>
        </w:rPr>
        <w:t>غير السكنية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بنحو 2 مليار شيكل (0.7%) إلى نحو 229 مليار، </w:t>
      </w:r>
      <w:r w:rsidR="00637ECD">
        <w:rPr>
          <w:rFonts w:ascii="David" w:hAnsi="David" w:cs="Times New Roman" w:hint="cs"/>
          <w:sz w:val="24"/>
          <w:szCs w:val="24"/>
          <w:rtl/>
          <w:lang w:bidi="ar-SA"/>
        </w:rPr>
        <w:t>وهنا أيضاً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تركزت الزيادة في </w:t>
      </w:r>
      <w:r w:rsidR="00637ECD">
        <w:rPr>
          <w:rFonts w:ascii="David" w:hAnsi="David" w:cs="Times New Roman" w:hint="cs"/>
          <w:sz w:val="24"/>
          <w:szCs w:val="24"/>
          <w:rtl/>
          <w:lang w:bidi="ar-SA"/>
        </w:rPr>
        <w:t>رصيد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الديون للبنوك، وال</w:t>
      </w:r>
      <w:r w:rsidR="00637ECD">
        <w:rPr>
          <w:rFonts w:ascii="David" w:hAnsi="David" w:cs="Times New Roman" w:hint="cs"/>
          <w:sz w:val="24"/>
          <w:szCs w:val="24"/>
          <w:rtl/>
          <w:lang w:bidi="ar-SA"/>
        </w:rPr>
        <w:t>ذ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>ي بلغ حوال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>ي 72٪ من إجمالي الديون غير السكنية.</w:t>
      </w:r>
    </w:p>
    <w:p w:rsidR="002E4976" w:rsidRPr="00CC4BC2" w:rsidRDefault="003C5F2C" w:rsidP="00637ECD">
      <w:pPr>
        <w:pStyle w:val="ListParagraph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B52A00">
        <w:rPr>
          <w:rFonts w:ascii="David" w:hAnsi="David" w:cs="Times New Roman"/>
          <w:sz w:val="24"/>
          <w:szCs w:val="24"/>
          <w:rtl/>
          <w:lang w:bidi="ar-SA"/>
        </w:rPr>
        <w:lastRenderedPageBreak/>
        <w:t xml:space="preserve">ارتفع معدل النمو السنوي في رصيد ديون الإسكان خلال هذا الربع بحوالي 5%. كما ارتفع معدل النمو السنوي في رصيد الديون غير </w:t>
      </w:r>
      <w:r w:rsidR="00637ECD">
        <w:rPr>
          <w:rFonts w:ascii="David" w:hAnsi="David" w:cs="Times New Roman" w:hint="cs"/>
          <w:sz w:val="24"/>
          <w:szCs w:val="24"/>
          <w:rtl/>
          <w:lang w:bidi="ar-SA"/>
        </w:rPr>
        <w:t>الإسكانية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>، لكنه ظل سلبيا</w:t>
      </w:r>
      <w:r w:rsidR="00637ECD">
        <w:rPr>
          <w:rFonts w:ascii="David" w:hAnsi="David" w:cs="Times New Roman" w:hint="cs"/>
          <w:sz w:val="24"/>
          <w:szCs w:val="24"/>
          <w:rtl/>
          <w:lang w:bidi="ar-SA"/>
        </w:rPr>
        <w:t>ً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وبلغ نحو </w:t>
      </w:r>
      <w:r w:rsidR="00637ECD">
        <w:rPr>
          <w:rFonts w:ascii="David" w:hAnsi="David" w:cs="Times New Roman" w:hint="cs"/>
          <w:sz w:val="24"/>
          <w:szCs w:val="24"/>
          <w:rtl/>
          <w:lang w:bidi="ar-SA"/>
        </w:rPr>
        <w:t>-</w:t>
      </w:r>
      <w:r w:rsidRPr="00B52A00">
        <w:rPr>
          <w:rFonts w:ascii="David" w:hAnsi="David" w:cs="Times New Roman"/>
          <w:sz w:val="24"/>
          <w:szCs w:val="24"/>
          <w:rtl/>
          <w:lang w:bidi="ar-SA"/>
        </w:rPr>
        <w:t>1% في نهاية الربع. (الشكل 5).</w:t>
      </w:r>
    </w:p>
    <w:p w:rsidR="00CC4BC2" w:rsidRPr="00CC4BC2" w:rsidRDefault="003C5F2C" w:rsidP="008379EC">
      <w:pPr>
        <w:pStyle w:val="ListParagraph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Arial" w:hint="cs"/>
          <w:sz w:val="24"/>
          <w:szCs w:val="24"/>
          <w:rtl/>
          <w:lang w:bidi="ar-SA"/>
        </w:rPr>
        <w:t xml:space="preserve">جاء </w:t>
      </w:r>
      <w:r w:rsidR="00B52A00"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ارتفاع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ال</w:t>
      </w:r>
      <w:r w:rsidR="00B52A00"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ديون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للإسكان</w:t>
      </w:r>
      <w:r w:rsidR="00B52A00"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نتيجة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للزيادة في طلب</w:t>
      </w:r>
      <w:r w:rsidR="00B52A00"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ال</w:t>
      </w:r>
      <w:r w:rsidR="00B52A00"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قروض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ال</w:t>
      </w:r>
      <w:r w:rsidR="00B52A00"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عقارية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ال</w:t>
      </w:r>
      <w:r w:rsidR="00B52A00" w:rsidRPr="00B52A00">
        <w:rPr>
          <w:rFonts w:ascii="David" w:hAnsi="David" w:cs="Times New Roman"/>
          <w:sz w:val="24"/>
          <w:szCs w:val="24"/>
          <w:rtl/>
          <w:lang w:bidi="ar-SA"/>
        </w:rPr>
        <w:t>جديدة من البنوك، وال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ت</w:t>
      </w:r>
      <w:r w:rsidR="00B52A00" w:rsidRPr="00B52A00">
        <w:rPr>
          <w:rFonts w:ascii="David" w:hAnsi="David" w:cs="Times New Roman"/>
          <w:sz w:val="24"/>
          <w:szCs w:val="24"/>
          <w:rtl/>
          <w:lang w:bidi="ar-SA"/>
        </w:rPr>
        <w:t>ي بدأ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ت</w:t>
      </w:r>
      <w:r w:rsidR="00B52A00"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نهاية العام 2023، وبلغ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>ت</w:t>
      </w:r>
      <w:r w:rsidR="00B52A00"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في الربع الثاني من العام بعد </w:t>
      </w:r>
      <w:r w:rsidR="008379EC">
        <w:rPr>
          <w:rFonts w:ascii="David" w:hAnsi="David" w:cs="Times New Roman" w:hint="cs"/>
          <w:sz w:val="24"/>
          <w:szCs w:val="24"/>
          <w:rtl/>
          <w:lang w:bidi="ar-SA"/>
        </w:rPr>
        <w:t>تعديلها موسميا</w:t>
      </w:r>
      <w:r w:rsidR="00B52A00" w:rsidRPr="00B52A00">
        <w:rPr>
          <w:rFonts w:ascii="David" w:hAnsi="David" w:cs="Times New Roman"/>
          <w:sz w:val="24"/>
          <w:szCs w:val="24"/>
          <w:rtl/>
          <w:lang w:bidi="ar-SA"/>
        </w:rPr>
        <w:t xml:space="preserve"> نحو 21 مليار شيكل، </w:t>
      </w:r>
      <w:r>
        <w:rPr>
          <w:rFonts w:ascii="David" w:hAnsi="David" w:cs="Times New Roman" w:hint="cs"/>
          <w:sz w:val="24"/>
          <w:szCs w:val="24"/>
          <w:rtl/>
          <w:lang w:bidi="ar-SA"/>
        </w:rPr>
        <w:t xml:space="preserve">وكانت </w:t>
      </w:r>
      <w:r w:rsidR="00B52A00" w:rsidRPr="00B52A00">
        <w:rPr>
          <w:rFonts w:ascii="David" w:hAnsi="David" w:cs="Times New Roman"/>
          <w:sz w:val="24"/>
          <w:szCs w:val="24"/>
          <w:rtl/>
          <w:lang w:bidi="ar-SA"/>
        </w:rPr>
        <w:t>أعلى من الفترة المماثلة من العام الماضي (حوالي 17 ملياراً).</w:t>
      </w:r>
    </w:p>
    <w:p w:rsidR="006B0BAE" w:rsidRPr="00B52A00" w:rsidRDefault="003C5F2C" w:rsidP="008379EC">
      <w:pPr>
        <w:pStyle w:val="ListParagraph"/>
        <w:bidi/>
        <w:spacing w:before="240" w:after="120" w:line="360" w:lineRule="auto"/>
        <w:rPr>
          <w:rFonts w:ascii="David" w:hAnsi="David" w:cs="Arial"/>
          <w:sz w:val="24"/>
          <w:szCs w:val="24"/>
          <w:lang w:bidi="ar-SA"/>
        </w:rPr>
      </w:pPr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في الأشهر </w:t>
      </w:r>
      <w:r w:rsidR="00637ECD">
        <w:rPr>
          <w:rFonts w:ascii="David" w:hAnsi="David" w:cs="Arial" w:hint="cs"/>
          <w:sz w:val="24"/>
          <w:szCs w:val="24"/>
          <w:rtl/>
          <w:lang w:bidi="ar-SA"/>
        </w:rPr>
        <w:t>تموز - آب</w:t>
      </w:r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 2024، استمرت الزيادة الموسمية في معظمها، في</w:t>
      </w:r>
      <w:r w:rsidR="00637ECD">
        <w:rPr>
          <w:rFonts w:ascii="David" w:hAnsi="David" w:cs="Arial" w:hint="cs"/>
          <w:sz w:val="24"/>
          <w:szCs w:val="24"/>
          <w:rtl/>
          <w:lang w:bidi="ar-SA"/>
        </w:rPr>
        <w:t xml:space="preserve"> معدل</w:t>
      </w:r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 الحصول على قروض عقارية جديدة وبلغت</w:t>
      </w:r>
      <w:r w:rsidR="00637ECD">
        <w:rPr>
          <w:rFonts w:ascii="David" w:hAnsi="David" w:cs="Arial" w:hint="cs"/>
          <w:sz w:val="24"/>
          <w:szCs w:val="24"/>
          <w:rtl/>
          <w:lang w:bidi="ar-SA"/>
        </w:rPr>
        <w:t xml:space="preserve"> في المعدل</w:t>
      </w:r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، بعد </w:t>
      </w:r>
      <w:r w:rsidR="00637ECD">
        <w:rPr>
          <w:rFonts w:ascii="David" w:hAnsi="David" w:cs="Arial" w:hint="cs"/>
          <w:sz w:val="24"/>
          <w:szCs w:val="24"/>
          <w:rtl/>
          <w:lang w:bidi="ar-SA"/>
        </w:rPr>
        <w:t>تعديلها موسمياً</w:t>
      </w:r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، </w:t>
      </w:r>
      <w:r w:rsidR="00637ECD">
        <w:rPr>
          <w:rFonts w:ascii="David" w:hAnsi="David" w:cs="Arial"/>
          <w:sz w:val="24"/>
          <w:szCs w:val="24"/>
          <w:rtl/>
          <w:lang w:bidi="ar-SA"/>
        </w:rPr>
        <w:t>​​7.5 مليار شيكل شهري</w:t>
      </w:r>
      <w:r w:rsidR="00637ECD">
        <w:rPr>
          <w:rFonts w:ascii="David" w:hAnsi="David" w:cs="Arial" w:hint="cs"/>
          <w:sz w:val="24"/>
          <w:szCs w:val="24"/>
          <w:rtl/>
          <w:lang w:bidi="ar-SA"/>
        </w:rPr>
        <w:t>اً</w:t>
      </w:r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 (الشكل 6).</w:t>
      </w:r>
    </w:p>
    <w:p w:rsidR="00FF4A03" w:rsidRDefault="003C5F2C" w:rsidP="00B52A00">
      <w:pPr>
        <w:tabs>
          <w:tab w:val="left" w:pos="4648"/>
        </w:tabs>
        <w:bidi/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tab/>
      </w:r>
    </w:p>
    <w:p w:rsidR="00E149DD" w:rsidRPr="00CB7E9A" w:rsidRDefault="003C5F2C" w:rsidP="00637ECD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B52A00">
        <w:rPr>
          <w:rFonts w:ascii="David" w:hAnsi="David" w:cs="Times New Roman"/>
          <w:b/>
          <w:bCs/>
          <w:sz w:val="24"/>
          <w:szCs w:val="24"/>
          <w:rtl/>
          <w:lang w:bidi="ar-SA"/>
        </w:rPr>
        <w:t>الجدول 2: أرصدة ديون الأسر</w:t>
      </w:r>
      <w:r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t xml:space="preserve"> </w:t>
      </w:r>
      <w:r w:rsidR="00AC3E61" w:rsidRPr="00CB7E9A">
        <w:rPr>
          <w:rFonts w:ascii="David" w:hAnsi="David" w:cs="David"/>
          <w:b/>
          <w:bCs/>
          <w:sz w:val="24"/>
          <w:szCs w:val="24"/>
          <w:vertAlign w:val="superscript"/>
          <w:rtl/>
        </w:rPr>
        <w:t>1</w:t>
      </w:r>
      <w:r w:rsidR="009653F5" w:rsidRPr="00CB7E9A">
        <w:rPr>
          <w:rFonts w:ascii="David" w:hAnsi="David" w:cs="David"/>
          <w:sz w:val="24"/>
          <w:szCs w:val="24"/>
        </w:rPr>
        <w:t xml:space="preserve"> </w:t>
      </w:r>
    </w:p>
    <w:p w:rsidR="00D46A28" w:rsidRPr="00E44C3B" w:rsidRDefault="003C5F2C" w:rsidP="00DC51E3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noProof/>
          <w:lang w:eastAsia="en-US"/>
        </w:rPr>
        <w:drawing>
          <wp:inline distT="0" distB="0" distL="0" distR="0">
            <wp:extent cx="5281295" cy="3035935"/>
            <wp:effectExtent l="0" t="0" r="0" b="0"/>
            <wp:docPr id="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28" w:rsidRPr="00E44C3B" w:rsidRDefault="00D46A28" w:rsidP="00D46A28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941A49" w:rsidRPr="00E44C3B" w:rsidRDefault="00941A49" w:rsidP="00D46A28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DC2431" w:rsidRDefault="00DC2431" w:rsidP="00070391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DC2431" w:rsidRDefault="00DC2431" w:rsidP="00DC2431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7B78E0" w:rsidRDefault="007B78E0" w:rsidP="007B78E0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7B78E0" w:rsidRDefault="007B78E0" w:rsidP="007B78E0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7B78E0" w:rsidRDefault="007B78E0" w:rsidP="007B78E0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7B78E0" w:rsidRDefault="007B78E0" w:rsidP="007B78E0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7B78E0" w:rsidRDefault="007B78E0" w:rsidP="007B78E0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7B78E0" w:rsidRDefault="007B78E0" w:rsidP="007B78E0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7B78E0" w:rsidRDefault="007B78E0" w:rsidP="007B78E0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7B78E0" w:rsidRDefault="007B78E0" w:rsidP="007B78E0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D33B21" w:rsidRDefault="00D33B21" w:rsidP="00D33B21">
      <w:pPr>
        <w:bidi/>
        <w:jc w:val="center"/>
        <w:rPr>
          <w:rFonts w:ascii="Arial" w:hAnsi="Arial" w:cs="Arial"/>
          <w:b/>
          <w:bCs/>
          <w:sz w:val="24"/>
          <w:szCs w:val="24"/>
          <w:rtl/>
          <w:lang w:bidi="ar-SA"/>
        </w:rPr>
      </w:pPr>
    </w:p>
    <w:p w:rsidR="008379EC" w:rsidRDefault="008379EC" w:rsidP="008379EC">
      <w:pPr>
        <w:bidi/>
        <w:jc w:val="center"/>
        <w:rPr>
          <w:rFonts w:ascii="Arial" w:hAnsi="Arial" w:cs="Arial"/>
          <w:b/>
          <w:bCs/>
          <w:sz w:val="24"/>
          <w:szCs w:val="24"/>
          <w:rtl/>
          <w:lang w:bidi="ar-SA"/>
        </w:rPr>
      </w:pPr>
    </w:p>
    <w:p w:rsidR="008379EC" w:rsidRDefault="008379EC" w:rsidP="008379EC">
      <w:pPr>
        <w:bidi/>
        <w:jc w:val="center"/>
        <w:rPr>
          <w:rFonts w:ascii="Arial" w:hAnsi="Arial" w:cs="Arial"/>
          <w:b/>
          <w:bCs/>
          <w:sz w:val="24"/>
          <w:szCs w:val="24"/>
          <w:rtl/>
          <w:lang w:bidi="ar-SA"/>
        </w:rPr>
      </w:pPr>
    </w:p>
    <w:p w:rsidR="008379EC" w:rsidRDefault="008379EC" w:rsidP="008379EC">
      <w:pPr>
        <w:bidi/>
        <w:jc w:val="center"/>
        <w:rPr>
          <w:rFonts w:ascii="Arial" w:hAnsi="Arial" w:cs="Arial"/>
          <w:b/>
          <w:bCs/>
          <w:sz w:val="24"/>
          <w:szCs w:val="24"/>
          <w:rtl/>
          <w:lang w:bidi="ar-SA"/>
        </w:rPr>
      </w:pPr>
    </w:p>
    <w:p w:rsidR="008379EC" w:rsidRDefault="008379EC" w:rsidP="008379EC">
      <w:pPr>
        <w:bidi/>
        <w:jc w:val="center"/>
        <w:rPr>
          <w:rFonts w:ascii="Arial" w:hAnsi="Arial" w:cs="Arial"/>
          <w:b/>
          <w:bCs/>
          <w:sz w:val="24"/>
          <w:szCs w:val="24"/>
          <w:rtl/>
          <w:lang w:bidi="ar-SA"/>
        </w:rPr>
      </w:pPr>
    </w:p>
    <w:p w:rsidR="008379EC" w:rsidRDefault="008379EC" w:rsidP="008379EC">
      <w:pPr>
        <w:bidi/>
        <w:jc w:val="center"/>
        <w:rPr>
          <w:rFonts w:ascii="Arial" w:hAnsi="Arial" w:cs="Arial"/>
          <w:b/>
          <w:bCs/>
          <w:sz w:val="24"/>
          <w:szCs w:val="24"/>
          <w:rtl/>
          <w:lang w:bidi="ar-SA"/>
        </w:rPr>
      </w:pPr>
    </w:p>
    <w:p w:rsidR="008379EC" w:rsidRDefault="008379EC" w:rsidP="008379EC">
      <w:pPr>
        <w:bidi/>
        <w:jc w:val="center"/>
        <w:rPr>
          <w:rFonts w:ascii="Arial" w:hAnsi="Arial" w:cs="Arial"/>
          <w:b/>
          <w:bCs/>
          <w:sz w:val="24"/>
          <w:szCs w:val="24"/>
          <w:rtl/>
          <w:lang w:bidi="ar-SA"/>
        </w:rPr>
      </w:pPr>
    </w:p>
    <w:p w:rsidR="008379EC" w:rsidRDefault="008379EC" w:rsidP="008379EC">
      <w:pPr>
        <w:bidi/>
        <w:jc w:val="center"/>
        <w:rPr>
          <w:rFonts w:ascii="Arial" w:hAnsi="Arial" w:cs="Arial"/>
          <w:b/>
          <w:bCs/>
          <w:sz w:val="24"/>
          <w:szCs w:val="24"/>
          <w:rtl/>
          <w:lang w:bidi="ar-SA"/>
        </w:rPr>
      </w:pPr>
    </w:p>
    <w:p w:rsidR="00D33B21" w:rsidRDefault="00D33B21" w:rsidP="00D33B21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F619D6" w:rsidRDefault="003C5F2C" w:rsidP="00637ECD">
      <w:pPr>
        <w:bidi/>
        <w:jc w:val="center"/>
        <w:rPr>
          <w:rFonts w:ascii="David" w:hAnsi="David" w:cs="Times New Roman"/>
          <w:b/>
          <w:bCs/>
          <w:sz w:val="24"/>
          <w:szCs w:val="24"/>
          <w:rtl/>
          <w:lang w:bidi="ar-SA"/>
        </w:rPr>
      </w:pPr>
      <w:r>
        <w:rPr>
          <w:rFonts w:ascii="David" w:hAnsi="David" w:cs="Times New Roman" w:hint="cs"/>
          <w:b/>
          <w:bCs/>
          <w:sz w:val="24"/>
          <w:szCs w:val="24"/>
          <w:rtl/>
          <w:lang w:bidi="ar-SA"/>
        </w:rPr>
        <w:lastRenderedPageBreak/>
        <w:t>ال</w:t>
      </w:r>
      <w:r w:rsidR="00B52A00" w:rsidRPr="00B52A00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شكل 5: معدلات التغير </w:t>
      </w:r>
      <w:r w:rsidRPr="00B52A00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في ديون الأسر للسكن وغير السكن </w:t>
      </w:r>
      <w:r w:rsidR="00B52A00" w:rsidRPr="00B52A00">
        <w:rPr>
          <w:rFonts w:ascii="David" w:hAnsi="David" w:cs="Times New Roman"/>
          <w:b/>
          <w:bCs/>
          <w:sz w:val="24"/>
          <w:szCs w:val="24"/>
          <w:rtl/>
          <w:lang w:bidi="ar-SA"/>
        </w:rPr>
        <w:t xml:space="preserve">مقارنة بالربع المماثل من العام السابق </w:t>
      </w:r>
    </w:p>
    <w:p w:rsidR="00637ECD" w:rsidRPr="00CB7E9A" w:rsidRDefault="00637ECD" w:rsidP="00637ECD">
      <w:pPr>
        <w:bidi/>
        <w:jc w:val="center"/>
        <w:rPr>
          <w:rFonts w:ascii="David" w:hAnsi="David" w:cs="David"/>
          <w:b/>
          <w:bCs/>
          <w:sz w:val="24"/>
          <w:szCs w:val="24"/>
        </w:rPr>
      </w:pPr>
    </w:p>
    <w:p w:rsidR="00C10811" w:rsidRPr="00E44C3B" w:rsidRDefault="003C5F2C" w:rsidP="00B33FA0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noProof/>
          <w:lang w:eastAsia="en-US"/>
        </w:rPr>
        <w:drawing>
          <wp:inline distT="0" distB="0" distL="0" distR="0">
            <wp:extent cx="5274310" cy="2560320"/>
            <wp:effectExtent l="0" t="0" r="0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811" w:rsidRPr="00E44C3B" w:rsidRDefault="00C10811" w:rsidP="00C10811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B52A00" w:rsidRPr="00B52A00" w:rsidRDefault="003C5F2C" w:rsidP="00637ECD">
      <w:pPr>
        <w:bidi/>
        <w:jc w:val="center"/>
        <w:rPr>
          <w:rFonts w:ascii="David" w:hAnsi="David" w:cs="Arial"/>
          <w:b/>
          <w:bCs/>
          <w:sz w:val="24"/>
          <w:szCs w:val="24"/>
          <w:rtl/>
          <w:lang w:bidi="ar-SA"/>
        </w:rPr>
      </w:pPr>
      <w:r w:rsidRPr="00B52A00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الشكل 6: حجم القروض الجديدة </w:t>
      </w:r>
      <w:r w:rsidR="00637ECD" w:rsidRPr="00B52A00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التي </w:t>
      </w:r>
      <w:r w:rsidR="00637ECD">
        <w:rPr>
          <w:rFonts w:ascii="David" w:hAnsi="David" w:cs="Arial" w:hint="cs"/>
          <w:b/>
          <w:bCs/>
          <w:sz w:val="24"/>
          <w:szCs w:val="24"/>
          <w:rtl/>
          <w:lang w:bidi="ar-SA"/>
        </w:rPr>
        <w:t>منحتها</w:t>
      </w:r>
      <w:r w:rsidR="00637ECD" w:rsidRPr="00B52A00">
        <w:rPr>
          <w:rFonts w:ascii="David" w:hAnsi="David" w:cs="Arial"/>
          <w:b/>
          <w:bCs/>
          <w:sz w:val="24"/>
          <w:szCs w:val="24"/>
          <w:rtl/>
          <w:lang w:bidi="ar-SA"/>
        </w:rPr>
        <w:t xml:space="preserve"> البنوك للجمهور </w:t>
      </w:r>
      <w:r w:rsidRPr="00B52A00">
        <w:rPr>
          <w:rFonts w:ascii="David" w:hAnsi="David" w:cs="Arial"/>
          <w:b/>
          <w:bCs/>
          <w:sz w:val="24"/>
          <w:szCs w:val="24"/>
          <w:rtl/>
          <w:lang w:bidi="ar-SA"/>
        </w:rPr>
        <w:t>لشراء شقة سكنية (الرهون العقارية)</w:t>
      </w:r>
    </w:p>
    <w:p w:rsidR="00005C41" w:rsidRPr="00E44C3B" w:rsidRDefault="00005C41" w:rsidP="00005C41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637ECD" w:rsidRPr="00637ECD" w:rsidRDefault="003C5F2C" w:rsidP="00637ECD">
      <w:pPr>
        <w:bidi/>
        <w:spacing w:line="360" w:lineRule="auto"/>
        <w:jc w:val="center"/>
        <w:rPr>
          <w:rFonts w:ascii="Arial" w:hAnsi="Arial" w:cs="Arial"/>
          <w:sz w:val="24"/>
          <w:szCs w:val="24"/>
          <w:rtl/>
          <w:lang w:bidi="ar-SA"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drawing>
          <wp:inline distT="0" distB="0" distL="0" distR="0">
            <wp:extent cx="5252085" cy="2713990"/>
            <wp:effectExtent l="0" t="0" r="0" b="0"/>
            <wp:docPr id="9" name="תמונה 17" descr="Title: איור 6: סכום ההלוואות החדשות לרכישת דירת מגורים שהעמידו הבנקים לציבור (משכנתאות) - Description: איור 6: 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7" descr="Title: איור 6: סכום ההלוואות החדשות לרכישת דירת מגורים שהעמידו הבנקים לציבור (משכנתאות) - Description: איור 6: סכום ההלוואות החדשות לרכישת דירת מגורים שהעמידו הבנקים לציבור (משכנתאות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A00" w:rsidRDefault="003C5F2C" w:rsidP="00637ECD">
      <w:pPr>
        <w:pStyle w:val="ListParagraph"/>
        <w:bidi/>
        <w:spacing w:before="480" w:line="360" w:lineRule="auto"/>
        <w:ind w:left="0"/>
        <w:rPr>
          <w:rFonts w:ascii="David" w:hAnsi="David" w:cs="Arial"/>
          <w:sz w:val="24"/>
          <w:szCs w:val="24"/>
          <w:rtl/>
          <w:lang w:bidi="ar-SA"/>
        </w:rPr>
      </w:pPr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راجع </w:t>
      </w:r>
      <w:r w:rsidR="00637ECD">
        <w:rPr>
          <w:rFonts w:ascii="David" w:hAnsi="David" w:cs="Arial" w:hint="cs"/>
          <w:sz w:val="24"/>
          <w:szCs w:val="24"/>
          <w:rtl/>
          <w:lang w:bidi="ar-SA"/>
        </w:rPr>
        <w:t>ال</w:t>
      </w:r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رابط لمزيد من المعلومات حول الموضوع على موقع البنك </w:t>
      </w:r>
      <w:r w:rsidR="00637ECD">
        <w:rPr>
          <w:rFonts w:ascii="David" w:hAnsi="David" w:cs="Arial" w:hint="cs"/>
          <w:sz w:val="24"/>
          <w:szCs w:val="24"/>
          <w:rtl/>
          <w:lang w:bidi="ar-SA"/>
        </w:rPr>
        <w:t>في</w:t>
      </w:r>
      <w:r w:rsidR="00637ECD">
        <w:rPr>
          <w:rFonts w:ascii="David" w:hAnsi="David" w:cs="Arial"/>
          <w:sz w:val="24"/>
          <w:szCs w:val="24"/>
          <w:rtl/>
          <w:lang w:bidi="ar-SA"/>
        </w:rPr>
        <w:t xml:space="preserve"> صفحة </w:t>
      </w:r>
      <w:hyperlink r:id="rId17" w:anchor="mainContent" w:history="1">
        <w:r w:rsidRPr="00637ECD">
          <w:rPr>
            <w:rStyle w:val="Hyperlink"/>
            <w:rFonts w:ascii="David" w:hAnsi="David" w:cs="Arial"/>
            <w:sz w:val="24"/>
            <w:szCs w:val="24"/>
            <w:rtl/>
            <w:lang w:bidi="ar-SA"/>
          </w:rPr>
          <w:t xml:space="preserve">أرصدة </w:t>
        </w:r>
        <w:r w:rsidR="00637ECD" w:rsidRPr="00637ECD">
          <w:rPr>
            <w:rStyle w:val="Hyperlink"/>
            <w:rFonts w:ascii="David" w:hAnsi="David" w:cs="Arial" w:hint="cs"/>
            <w:sz w:val="24"/>
            <w:szCs w:val="24"/>
            <w:rtl/>
            <w:lang w:bidi="ar-SA"/>
          </w:rPr>
          <w:t>الائتمان</w:t>
        </w:r>
        <w:r w:rsidRPr="00637ECD">
          <w:rPr>
            <w:rStyle w:val="Hyperlink"/>
            <w:rFonts w:ascii="David" w:hAnsi="David" w:cs="Arial"/>
            <w:sz w:val="24"/>
            <w:szCs w:val="24"/>
            <w:rtl/>
            <w:lang w:bidi="ar-SA"/>
          </w:rPr>
          <w:t xml:space="preserve"> في</w:t>
        </w:r>
        <w:r w:rsidR="00637ECD" w:rsidRPr="00637ECD">
          <w:rPr>
            <w:rStyle w:val="Hyperlink"/>
            <w:rFonts w:ascii="David" w:hAnsi="David" w:cs="Arial" w:hint="cs"/>
            <w:sz w:val="24"/>
            <w:szCs w:val="24"/>
            <w:rtl/>
            <w:lang w:bidi="ar-SA"/>
          </w:rPr>
          <w:t xml:space="preserve"> النظام</w:t>
        </w:r>
        <w:r w:rsidRPr="00637ECD">
          <w:rPr>
            <w:rStyle w:val="Hyperlink"/>
            <w:rFonts w:ascii="David" w:hAnsi="David" w:cs="Arial"/>
            <w:sz w:val="24"/>
            <w:szCs w:val="24"/>
            <w:rtl/>
            <w:lang w:bidi="ar-SA"/>
          </w:rPr>
          <w:t xml:space="preserve"> الاقتصاد</w:t>
        </w:r>
        <w:r w:rsidR="00637ECD" w:rsidRPr="00637ECD">
          <w:rPr>
            <w:rStyle w:val="Hyperlink"/>
            <w:rFonts w:ascii="David" w:hAnsi="David" w:cs="Arial" w:hint="cs"/>
            <w:sz w:val="24"/>
            <w:szCs w:val="24"/>
            <w:rtl/>
            <w:lang w:bidi="ar-SA"/>
          </w:rPr>
          <w:t>ي</w:t>
        </w:r>
      </w:hyperlink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، رابط </w:t>
      </w:r>
      <w:hyperlink r:id="rId18" w:anchor="mainContent" w:history="1">
        <w:r w:rsidR="00637ECD" w:rsidRPr="00637ECD">
          <w:rPr>
            <w:rStyle w:val="Hyperlink"/>
            <w:rFonts w:ascii="David" w:hAnsi="David" w:cs="Arial" w:hint="cs"/>
            <w:sz w:val="24"/>
            <w:szCs w:val="24"/>
            <w:rtl/>
            <w:lang w:bidi="ar-SA"/>
          </w:rPr>
          <w:t>لمعطيات</w:t>
        </w:r>
        <w:r w:rsidRPr="00637ECD">
          <w:rPr>
            <w:rStyle w:val="Hyperlink"/>
            <w:rFonts w:ascii="David" w:hAnsi="David" w:cs="Arial"/>
            <w:sz w:val="24"/>
            <w:szCs w:val="24"/>
            <w:rtl/>
            <w:lang w:bidi="ar-SA"/>
          </w:rPr>
          <w:t xml:space="preserve"> الرهن العقاري</w:t>
        </w:r>
      </w:hyperlink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، رابط </w:t>
      </w:r>
      <w:r w:rsidR="00637ECD">
        <w:rPr>
          <w:rFonts w:ascii="David" w:hAnsi="David" w:cs="Arial" w:hint="cs"/>
          <w:sz w:val="24"/>
          <w:szCs w:val="24"/>
          <w:rtl/>
          <w:lang w:bidi="ar-SA"/>
        </w:rPr>
        <w:t>لمعطيات</w:t>
      </w:r>
      <w:r w:rsidRPr="00B52A00">
        <w:rPr>
          <w:rFonts w:ascii="David" w:hAnsi="David" w:cs="Arial"/>
          <w:sz w:val="24"/>
          <w:szCs w:val="24"/>
          <w:rtl/>
          <w:lang w:bidi="ar-SA"/>
        </w:rPr>
        <w:t xml:space="preserve"> </w:t>
      </w:r>
      <w:hyperlink r:id="rId19" w:anchor="mainContent" w:history="1">
        <w:r w:rsidRPr="00637ECD">
          <w:rPr>
            <w:rStyle w:val="Hyperlink"/>
            <w:rFonts w:ascii="David" w:hAnsi="David" w:cs="Arial"/>
            <w:sz w:val="24"/>
            <w:szCs w:val="24"/>
            <w:rtl/>
            <w:lang w:bidi="ar-SA"/>
          </w:rPr>
          <w:t>أسعار البنك</w:t>
        </w:r>
      </w:hyperlink>
      <w:r w:rsidRPr="00B52A00">
        <w:rPr>
          <w:rFonts w:ascii="David" w:hAnsi="David" w:cs="Arial"/>
          <w:sz w:val="24"/>
          <w:szCs w:val="24"/>
          <w:rtl/>
          <w:lang w:bidi="ar-SA"/>
        </w:rPr>
        <w:t>.</w:t>
      </w:r>
    </w:p>
    <w:p w:rsidR="00AF39DF" w:rsidRDefault="00AF39DF" w:rsidP="00AF39DF">
      <w:pPr>
        <w:pStyle w:val="ListParagraph"/>
        <w:bidi/>
        <w:spacing w:before="480" w:line="360" w:lineRule="auto"/>
        <w:ind w:left="0"/>
        <w:rPr>
          <w:rFonts w:ascii="David" w:hAnsi="David" w:cs="Arial"/>
          <w:sz w:val="24"/>
          <w:szCs w:val="24"/>
          <w:rtl/>
          <w:lang w:bidi="ar-SA"/>
        </w:rPr>
      </w:pPr>
    </w:p>
    <w:p w:rsidR="00AF39DF" w:rsidRPr="00B52A00" w:rsidRDefault="00AF39DF" w:rsidP="0002432B">
      <w:pPr>
        <w:pStyle w:val="ListParagraph"/>
        <w:bidi/>
        <w:spacing w:before="480" w:line="360" w:lineRule="auto"/>
        <w:ind w:left="0"/>
        <w:rPr>
          <w:rFonts w:ascii="David" w:hAnsi="David" w:cs="Arial"/>
          <w:sz w:val="24"/>
          <w:szCs w:val="24"/>
          <w:rtl/>
          <w:lang w:bidi="ar-SA"/>
        </w:rPr>
      </w:pPr>
    </w:p>
    <w:sectPr w:rsidR="00AF39DF" w:rsidRPr="00B52A00" w:rsidSect="007A3CCD">
      <w:footerReference w:type="default" r:id="rId20"/>
      <w:pgSz w:w="11906" w:h="16838"/>
      <w:pgMar w:top="1418" w:right="1797" w:bottom="907" w:left="1797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5F2C">
      <w:r>
        <w:separator/>
      </w:r>
    </w:p>
  </w:endnote>
  <w:endnote w:type="continuationSeparator" w:id="0">
    <w:p w:rsidR="00000000" w:rsidRDefault="003C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E2" w:rsidRPr="00C84639" w:rsidRDefault="003C5F2C" w:rsidP="00ED128A">
    <w:pPr>
      <w:pStyle w:val="Footer"/>
      <w:tabs>
        <w:tab w:val="clear" w:pos="8306"/>
        <w:tab w:val="right" w:pos="8873"/>
      </w:tabs>
      <w:bidi/>
      <w:ind w:left="-625"/>
      <w:jc w:val="right"/>
      <w:rPr>
        <w:rFonts w:ascii="David" w:hAnsi="David" w:cs="David"/>
        <w:sz w:val="24"/>
        <w:szCs w:val="24"/>
        <w:rtl/>
        <w:cs/>
      </w:rPr>
    </w:pPr>
    <w:r w:rsidRPr="00C84639">
      <w:rPr>
        <w:rFonts w:ascii="David" w:hAnsi="David" w:cs="David"/>
        <w:sz w:val="24"/>
        <w:szCs w:val="24"/>
        <w:rtl/>
        <w:cs/>
        <w:lang w:val="he-IL"/>
      </w:rPr>
      <w:t xml:space="preserve">התפתחות החוב </w:t>
    </w:r>
    <w:r w:rsidR="00802DF3" w:rsidRPr="00C84639">
      <w:rPr>
        <w:rFonts w:ascii="David" w:hAnsi="David" w:cs="David"/>
        <w:sz w:val="24"/>
        <w:szCs w:val="24"/>
        <w:rtl/>
        <w:cs/>
        <w:lang w:val="he-IL"/>
      </w:rPr>
      <w:t>של המגזר הפרטי</w:t>
    </w:r>
    <w:r w:rsidR="00B055B5" w:rsidRPr="00C84639">
      <w:rPr>
        <w:rFonts w:ascii="David" w:hAnsi="David" w:cs="David"/>
        <w:sz w:val="24"/>
        <w:szCs w:val="24"/>
        <w:rtl/>
        <w:cs/>
        <w:lang w:val="he-IL"/>
      </w:rPr>
      <w:t xml:space="preserve"> הלא-פיננסי</w:t>
    </w:r>
    <w:r w:rsidR="00802DF3" w:rsidRPr="00C84639">
      <w:rPr>
        <w:rFonts w:ascii="David" w:hAnsi="David" w:cs="David"/>
        <w:sz w:val="24"/>
        <w:szCs w:val="24"/>
        <w:rtl/>
        <w:cs/>
        <w:lang w:val="he-IL"/>
      </w:rPr>
      <w:t xml:space="preserve"> </w:t>
    </w:r>
    <w:r w:rsidR="00FC2095" w:rsidRPr="00C84639">
      <w:rPr>
        <w:rFonts w:ascii="David" w:hAnsi="David" w:cs="David"/>
        <w:sz w:val="24"/>
        <w:szCs w:val="24"/>
        <w:rtl/>
        <w:cs/>
        <w:lang w:val="he-IL"/>
      </w:rPr>
      <w:t xml:space="preserve">ברביע </w:t>
    </w:r>
    <w:r w:rsidR="00ED128A">
      <w:rPr>
        <w:rFonts w:ascii="David" w:hAnsi="David" w:cs="David" w:hint="cs"/>
        <w:sz w:val="24"/>
        <w:szCs w:val="24"/>
        <w:rtl/>
        <w:cs/>
        <w:lang w:val="he-IL"/>
      </w:rPr>
      <w:t>השני</w:t>
    </w:r>
    <w:r w:rsidR="00DD77B1">
      <w:rPr>
        <w:rFonts w:ascii="David" w:hAnsi="David" w:cs="David" w:hint="cs"/>
        <w:sz w:val="24"/>
        <w:szCs w:val="24"/>
        <w:rtl/>
        <w:cs/>
        <w:lang w:val="he-IL"/>
      </w:rPr>
      <w:t xml:space="preserve"> </w:t>
    </w:r>
    <w:r w:rsidR="00802DF3" w:rsidRPr="00C84639">
      <w:rPr>
        <w:rFonts w:ascii="David" w:hAnsi="David" w:cs="David"/>
        <w:sz w:val="24"/>
        <w:szCs w:val="24"/>
        <w:rtl/>
        <w:cs/>
        <w:lang w:val="he-IL"/>
      </w:rPr>
      <w:t xml:space="preserve">של שנת </w:t>
    </w:r>
    <w:r w:rsidR="00DD77B1">
      <w:rPr>
        <w:rFonts w:ascii="David" w:hAnsi="David" w:cs="David" w:hint="cs"/>
        <w:sz w:val="24"/>
        <w:szCs w:val="24"/>
        <w:rtl/>
        <w:cs/>
        <w:lang w:val="he-IL"/>
      </w:rPr>
      <w:t>2024</w:t>
    </w:r>
    <w:r w:rsidRPr="00C84639">
      <w:rPr>
        <w:rFonts w:ascii="David" w:hAnsi="David" w:cs="David"/>
        <w:sz w:val="24"/>
        <w:szCs w:val="24"/>
        <w:rtl/>
        <w:cs/>
        <w:lang w:val="he-IL"/>
      </w:rPr>
      <w:tab/>
      <w:t xml:space="preserve">עמוד </w:t>
    </w:r>
    <w:r w:rsidRPr="00C84639">
      <w:rPr>
        <w:rFonts w:ascii="David" w:hAnsi="David" w:cs="David"/>
        <w:sz w:val="24"/>
        <w:szCs w:val="24"/>
      </w:rPr>
      <w:fldChar w:fldCharType="begin"/>
    </w:r>
    <w:r w:rsidRPr="00C84639">
      <w:rPr>
        <w:rFonts w:ascii="David" w:hAnsi="David" w:cs="David"/>
        <w:sz w:val="24"/>
        <w:szCs w:val="24"/>
        <w:rtl/>
        <w:cs/>
      </w:rPr>
      <w:instrText>PAGE</w:instrText>
    </w:r>
    <w:r w:rsidRPr="00C84639">
      <w:rPr>
        <w:rFonts w:ascii="David" w:hAnsi="David" w:cs="David"/>
        <w:sz w:val="24"/>
        <w:szCs w:val="24"/>
      </w:rPr>
      <w:fldChar w:fldCharType="separate"/>
    </w:r>
    <w:r>
      <w:rPr>
        <w:rFonts w:ascii="David" w:hAnsi="David" w:cs="David"/>
        <w:noProof/>
        <w:sz w:val="24"/>
        <w:szCs w:val="24"/>
        <w:rtl/>
      </w:rPr>
      <w:t>2</w:t>
    </w:r>
    <w:r w:rsidRPr="00C84639">
      <w:rPr>
        <w:rFonts w:ascii="David" w:hAnsi="David" w:cs="David"/>
        <w:sz w:val="24"/>
        <w:szCs w:val="24"/>
      </w:rPr>
      <w:fldChar w:fldCharType="end"/>
    </w:r>
    <w:r w:rsidRPr="00C84639">
      <w:rPr>
        <w:rFonts w:ascii="David" w:hAnsi="David" w:cs="David"/>
        <w:sz w:val="24"/>
        <w:szCs w:val="24"/>
        <w:rtl/>
        <w:cs/>
        <w:lang w:val="he-IL"/>
      </w:rPr>
      <w:t xml:space="preserve"> מתוך </w:t>
    </w:r>
    <w:r w:rsidRPr="00C84639">
      <w:rPr>
        <w:rFonts w:ascii="David" w:hAnsi="David" w:cs="David"/>
        <w:sz w:val="24"/>
        <w:szCs w:val="24"/>
      </w:rPr>
      <w:fldChar w:fldCharType="begin"/>
    </w:r>
    <w:r w:rsidRPr="00C84639">
      <w:rPr>
        <w:rFonts w:ascii="David" w:hAnsi="David" w:cs="David"/>
        <w:sz w:val="24"/>
        <w:szCs w:val="24"/>
        <w:rtl/>
        <w:cs/>
      </w:rPr>
      <w:instrText>NUMPAGES</w:instrText>
    </w:r>
    <w:r w:rsidRPr="00C84639">
      <w:rPr>
        <w:rFonts w:ascii="David" w:hAnsi="David" w:cs="David"/>
        <w:sz w:val="24"/>
        <w:szCs w:val="24"/>
      </w:rPr>
      <w:fldChar w:fldCharType="separate"/>
    </w:r>
    <w:r>
      <w:rPr>
        <w:rFonts w:ascii="David" w:hAnsi="David" w:cs="David"/>
        <w:noProof/>
        <w:sz w:val="24"/>
        <w:szCs w:val="24"/>
        <w:rtl/>
      </w:rPr>
      <w:t>6</w:t>
    </w:r>
    <w:r w:rsidRPr="00C84639">
      <w:rPr>
        <w:rFonts w:ascii="David" w:hAnsi="David" w:cs="David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B93" w:rsidRDefault="003C5F2C" w:rsidP="00C04A6B">
      <w:r>
        <w:separator/>
      </w:r>
    </w:p>
  </w:footnote>
  <w:footnote w:type="continuationSeparator" w:id="0">
    <w:p w:rsidR="00036B93" w:rsidRDefault="003C5F2C" w:rsidP="00C04A6B">
      <w:r>
        <w:continuationSeparator/>
      </w:r>
    </w:p>
  </w:footnote>
  <w:footnote w:id="1">
    <w:p w:rsidR="00474B96" w:rsidRPr="008379EC" w:rsidRDefault="003C5F2C" w:rsidP="00F653FF">
      <w:pPr>
        <w:pStyle w:val="FootnoteText"/>
        <w:bidi/>
        <w:rPr>
          <w:rFonts w:ascii="David" w:hAnsi="David" w:cs="Arial"/>
          <w:rtl/>
          <w:lang w:bidi="ar-SA"/>
        </w:rPr>
      </w:pPr>
      <w:r w:rsidRPr="008379EC">
        <w:rPr>
          <w:rStyle w:val="FootnoteReference"/>
          <w:rFonts w:ascii="David" w:hAnsi="David" w:cs="David"/>
        </w:rPr>
        <w:footnoteRef/>
      </w:r>
      <w:r w:rsidR="00F653FF" w:rsidRPr="008379EC">
        <w:rPr>
          <w:rFonts w:ascii="David" w:hAnsi="David" w:cs="Arial" w:hint="cs"/>
          <w:sz w:val="18"/>
          <w:szCs w:val="18"/>
          <w:rtl/>
          <w:lang w:bidi="ar-SA"/>
        </w:rPr>
        <w:t xml:space="preserve"> </w:t>
      </w:r>
      <w:r w:rsidR="00B52A00" w:rsidRPr="008379EC">
        <w:rPr>
          <w:rFonts w:ascii="David" w:hAnsi="David" w:cs="Arial" w:hint="cs"/>
          <w:sz w:val="18"/>
          <w:szCs w:val="18"/>
          <w:rtl/>
          <w:lang w:bidi="ar-SA"/>
        </w:rPr>
        <w:t xml:space="preserve"> </w:t>
      </w:r>
      <w:r w:rsidR="00B52A00" w:rsidRPr="008379EC">
        <w:rPr>
          <w:rFonts w:ascii="David" w:hAnsi="David" w:cs="Arial"/>
          <w:sz w:val="18"/>
          <w:szCs w:val="18"/>
          <w:rtl/>
          <w:lang w:bidi="ar-SA"/>
        </w:rPr>
        <w:t xml:space="preserve">الشركات التجارية الإسرائيلية، </w:t>
      </w:r>
      <w:r w:rsidR="00F653FF" w:rsidRPr="008379EC">
        <w:rPr>
          <w:rFonts w:ascii="David" w:hAnsi="David" w:cs="Arial" w:hint="cs"/>
          <w:sz w:val="18"/>
          <w:szCs w:val="18"/>
          <w:rtl/>
          <w:lang w:bidi="ar-SA"/>
        </w:rPr>
        <w:t>بدون</w:t>
      </w:r>
      <w:r w:rsidR="00B52A00" w:rsidRPr="008379EC">
        <w:rPr>
          <w:rFonts w:ascii="David" w:hAnsi="David" w:cs="Arial"/>
          <w:sz w:val="18"/>
          <w:szCs w:val="18"/>
          <w:rtl/>
          <w:lang w:bidi="ar-SA"/>
        </w:rPr>
        <w:t xml:space="preserve"> البنوك وشركات بطاقات الائتمان وشركات التأمين</w:t>
      </w:r>
      <w:r w:rsidR="00F653FF" w:rsidRPr="008379EC">
        <w:rPr>
          <w:rFonts w:ascii="David" w:hAnsi="David" w:cs="Arial" w:hint="cs"/>
          <w:sz w:val="18"/>
          <w:szCs w:val="18"/>
          <w:rtl/>
          <w:lang w:bidi="ar-SA"/>
        </w:rPr>
        <w:t>.</w:t>
      </w:r>
    </w:p>
  </w:footnote>
  <w:footnote w:id="2">
    <w:p w:rsidR="00BB1C9E" w:rsidRPr="008379EC" w:rsidRDefault="003C5F2C" w:rsidP="0057037A">
      <w:pPr>
        <w:pStyle w:val="FootnoteText"/>
        <w:bidi/>
        <w:rPr>
          <w:rFonts w:ascii="Arial" w:hAnsi="Arial" w:cs="Arial"/>
          <w:sz w:val="18"/>
          <w:szCs w:val="18"/>
          <w:rtl/>
          <w:lang w:bidi="ar-SA"/>
        </w:rPr>
      </w:pPr>
      <w:r w:rsidRPr="008379EC">
        <w:rPr>
          <w:rStyle w:val="FootnoteReference"/>
          <w:rFonts w:ascii="David" w:hAnsi="David" w:cs="David"/>
          <w:sz w:val="18"/>
          <w:szCs w:val="18"/>
        </w:rPr>
        <w:footnoteRef/>
      </w:r>
      <w:r w:rsidRPr="008379EC">
        <w:rPr>
          <w:rFonts w:ascii="David" w:hAnsi="David" w:cs="David"/>
          <w:sz w:val="18"/>
          <w:szCs w:val="18"/>
          <w:rtl/>
        </w:rPr>
        <w:t xml:space="preserve"> </w:t>
      </w:r>
      <w:r w:rsidR="00B52A00" w:rsidRPr="008379EC">
        <w:rPr>
          <w:rFonts w:ascii="David" w:hAnsi="David" w:cs="Arial"/>
          <w:sz w:val="18"/>
          <w:szCs w:val="18"/>
          <w:rtl/>
          <w:lang w:bidi="ar-SA"/>
        </w:rPr>
        <w:t xml:space="preserve">يتم احتساب الأرصدة المرتبطة بالمؤشر وفق </w:t>
      </w:r>
      <w:r w:rsidR="0057037A" w:rsidRPr="008379EC">
        <w:rPr>
          <w:rFonts w:ascii="David" w:hAnsi="David" w:cs="Arial" w:hint="cs"/>
          <w:sz w:val="18"/>
          <w:szCs w:val="18"/>
          <w:rtl/>
          <w:lang w:bidi="ar-SA"/>
        </w:rPr>
        <w:t>ال</w:t>
      </w:r>
      <w:r w:rsidR="00B52A00" w:rsidRPr="008379EC">
        <w:rPr>
          <w:rFonts w:ascii="David" w:hAnsi="David" w:cs="Arial"/>
          <w:sz w:val="18"/>
          <w:szCs w:val="18"/>
          <w:rtl/>
          <w:lang w:bidi="ar-SA"/>
        </w:rPr>
        <w:t xml:space="preserve">مؤشر </w:t>
      </w:r>
      <w:r w:rsidR="0057037A" w:rsidRPr="008379EC">
        <w:rPr>
          <w:rFonts w:ascii="David" w:hAnsi="David" w:cs="Arial" w:hint="cs"/>
          <w:sz w:val="18"/>
          <w:szCs w:val="18"/>
          <w:rtl/>
          <w:lang w:bidi="ar-SA"/>
        </w:rPr>
        <w:t>ال</w:t>
      </w:r>
      <w:r w:rsidR="00B52A00" w:rsidRPr="008379EC">
        <w:rPr>
          <w:rFonts w:ascii="David" w:hAnsi="David" w:cs="Arial"/>
          <w:sz w:val="18"/>
          <w:szCs w:val="18"/>
          <w:rtl/>
          <w:lang w:bidi="ar-SA"/>
        </w:rPr>
        <w:t xml:space="preserve">معروف عند إعداد </w:t>
      </w:r>
      <w:r w:rsidR="0057037A" w:rsidRPr="008379EC">
        <w:rPr>
          <w:rFonts w:ascii="David" w:hAnsi="David" w:cs="Arial" w:hint="cs"/>
          <w:sz w:val="18"/>
          <w:szCs w:val="18"/>
          <w:rtl/>
          <w:lang w:bidi="ar-SA"/>
        </w:rPr>
        <w:t>التقارير</w:t>
      </w:r>
      <w:r w:rsidR="00B52A00" w:rsidRPr="008379EC">
        <w:rPr>
          <w:rFonts w:ascii="David" w:hAnsi="David" w:cs="Arial"/>
          <w:sz w:val="18"/>
          <w:szCs w:val="18"/>
          <w:rtl/>
          <w:lang w:bidi="ar-SA"/>
        </w:rPr>
        <w:t xml:space="preserve"> المالية، وبالتالي فإ</w:t>
      </w:r>
      <w:r w:rsidR="0057037A" w:rsidRPr="008379EC">
        <w:rPr>
          <w:rFonts w:ascii="David" w:hAnsi="David" w:cs="Arial"/>
          <w:sz w:val="18"/>
          <w:szCs w:val="18"/>
          <w:rtl/>
          <w:lang w:bidi="ar-SA"/>
        </w:rPr>
        <w:t xml:space="preserve">ن التغير في </w:t>
      </w:r>
      <w:r w:rsidR="00B52A00" w:rsidRPr="008379EC">
        <w:rPr>
          <w:rFonts w:ascii="David" w:hAnsi="David" w:cs="Arial"/>
          <w:sz w:val="18"/>
          <w:szCs w:val="18"/>
          <w:rtl/>
          <w:lang w:bidi="ar-SA"/>
        </w:rPr>
        <w:t xml:space="preserve">مؤشر </w:t>
      </w:r>
      <w:r w:rsidR="0057037A" w:rsidRPr="008379EC">
        <w:rPr>
          <w:rFonts w:ascii="David" w:hAnsi="David" w:cs="Arial" w:hint="cs"/>
          <w:sz w:val="18"/>
          <w:szCs w:val="18"/>
          <w:rtl/>
          <w:lang w:bidi="ar-SA"/>
        </w:rPr>
        <w:t>الأسعار</w:t>
      </w:r>
      <w:r w:rsidR="00B52A00" w:rsidRPr="008379EC">
        <w:rPr>
          <w:rFonts w:ascii="David" w:hAnsi="David" w:cs="Arial"/>
          <w:sz w:val="18"/>
          <w:szCs w:val="18"/>
          <w:rtl/>
          <w:lang w:bidi="ar-SA"/>
        </w:rPr>
        <w:t xml:space="preserve"> </w:t>
      </w:r>
      <w:r w:rsidR="0057037A" w:rsidRPr="008379EC">
        <w:rPr>
          <w:rFonts w:ascii="David" w:hAnsi="David" w:cs="Arial" w:hint="cs"/>
          <w:sz w:val="18"/>
          <w:szCs w:val="18"/>
          <w:rtl/>
          <w:lang w:bidi="ar-SA"/>
        </w:rPr>
        <w:t>يتطرق</w:t>
      </w:r>
      <w:r w:rsidR="00B52A00" w:rsidRPr="008379EC">
        <w:rPr>
          <w:rFonts w:ascii="David" w:hAnsi="David" w:cs="Arial"/>
          <w:sz w:val="18"/>
          <w:szCs w:val="18"/>
          <w:rtl/>
          <w:lang w:bidi="ar-SA"/>
        </w:rPr>
        <w:t xml:space="preserve"> إلى التغير بين </w:t>
      </w:r>
      <w:r w:rsidR="0057037A" w:rsidRPr="008379EC">
        <w:rPr>
          <w:rFonts w:ascii="David" w:hAnsi="David" w:cs="Arial" w:hint="cs"/>
          <w:sz w:val="18"/>
          <w:szCs w:val="18"/>
          <w:rtl/>
          <w:lang w:bidi="ar-SA"/>
        </w:rPr>
        <w:t>ال</w:t>
      </w:r>
      <w:r w:rsidR="00B52A00" w:rsidRPr="008379EC">
        <w:rPr>
          <w:rFonts w:ascii="David" w:hAnsi="David" w:cs="Arial"/>
          <w:sz w:val="18"/>
          <w:szCs w:val="18"/>
          <w:rtl/>
          <w:lang w:bidi="ar-SA"/>
        </w:rPr>
        <w:t xml:space="preserve">مؤشر </w:t>
      </w:r>
      <w:r w:rsidR="0057037A" w:rsidRPr="008379EC">
        <w:rPr>
          <w:rFonts w:ascii="David" w:hAnsi="David" w:cs="Arial" w:hint="cs"/>
          <w:sz w:val="18"/>
          <w:szCs w:val="18"/>
          <w:rtl/>
          <w:lang w:bidi="ar-SA"/>
        </w:rPr>
        <w:t>ال</w:t>
      </w:r>
      <w:r w:rsidR="0057037A" w:rsidRPr="008379EC">
        <w:rPr>
          <w:rFonts w:ascii="David" w:hAnsi="David" w:cs="Arial"/>
          <w:sz w:val="18"/>
          <w:szCs w:val="18"/>
          <w:rtl/>
          <w:lang w:bidi="ar-SA"/>
        </w:rPr>
        <w:t xml:space="preserve">معروف والمؤشر في الشهر الذي </w:t>
      </w:r>
      <w:r w:rsidR="00B52A00" w:rsidRPr="008379EC">
        <w:rPr>
          <w:rFonts w:ascii="David" w:hAnsi="David" w:cs="Arial"/>
          <w:sz w:val="18"/>
          <w:szCs w:val="18"/>
          <w:rtl/>
          <w:lang w:bidi="ar-SA"/>
        </w:rPr>
        <w:t>سبقه</w:t>
      </w:r>
    </w:p>
  </w:footnote>
  <w:footnote w:id="3">
    <w:p w:rsidR="00884ED4" w:rsidRPr="008379EC" w:rsidRDefault="003C5F2C" w:rsidP="0057037A">
      <w:pPr>
        <w:pStyle w:val="FootnoteText"/>
        <w:bidi/>
        <w:rPr>
          <w:rFonts w:ascii="David" w:hAnsi="David" w:cs="Arial"/>
          <w:sz w:val="18"/>
          <w:szCs w:val="18"/>
          <w:lang w:bidi="ar-SA"/>
        </w:rPr>
      </w:pPr>
      <w:r w:rsidRPr="008379EC">
        <w:rPr>
          <w:rStyle w:val="FootnoteReference"/>
          <w:rFonts w:ascii="David" w:hAnsi="David" w:cs="David"/>
        </w:rPr>
        <w:footnoteRef/>
      </w:r>
      <w:r w:rsidR="0057037A" w:rsidRPr="008379EC">
        <w:rPr>
          <w:rFonts w:ascii="David" w:hAnsi="David" w:cs="Arial" w:hint="cs"/>
          <w:sz w:val="18"/>
          <w:szCs w:val="18"/>
          <w:rtl/>
          <w:lang w:bidi="ar-SA"/>
        </w:rPr>
        <w:t xml:space="preserve"> </w:t>
      </w:r>
      <w:r w:rsidR="00B52A00" w:rsidRPr="008379EC">
        <w:rPr>
          <w:rFonts w:ascii="David" w:hAnsi="David" w:cs="Arial" w:hint="cs"/>
          <w:sz w:val="18"/>
          <w:szCs w:val="18"/>
          <w:rtl/>
          <w:lang w:bidi="ar-SA"/>
        </w:rPr>
        <w:t xml:space="preserve"> </w:t>
      </w:r>
      <w:r w:rsidR="00B52A00" w:rsidRPr="008379EC">
        <w:rPr>
          <w:rFonts w:ascii="David" w:hAnsi="David" w:cs="Arial"/>
          <w:sz w:val="18"/>
          <w:szCs w:val="18"/>
          <w:rtl/>
          <w:lang w:bidi="ar-SA"/>
        </w:rPr>
        <w:t xml:space="preserve">يتم حساب التغير في الهامش من ربع إلى </w:t>
      </w:r>
      <w:r w:rsidR="0057037A" w:rsidRPr="008379EC">
        <w:rPr>
          <w:rFonts w:ascii="David" w:hAnsi="David" w:cs="Arial" w:hint="cs"/>
          <w:sz w:val="18"/>
          <w:szCs w:val="18"/>
          <w:rtl/>
          <w:lang w:bidi="ar-SA"/>
        </w:rPr>
        <w:t>آخر</w:t>
      </w:r>
      <w:r w:rsidR="00B52A00" w:rsidRPr="008379EC">
        <w:rPr>
          <w:rFonts w:ascii="David" w:hAnsi="David" w:cs="Arial"/>
          <w:sz w:val="18"/>
          <w:szCs w:val="18"/>
          <w:rtl/>
          <w:lang w:bidi="ar-SA"/>
        </w:rPr>
        <w:t xml:space="preserve"> على أنه الفرق بين متوسط ​​الهامش في الشهر الأخير من الربع الذي شمله </w:t>
      </w:r>
      <w:r w:rsidR="0057037A" w:rsidRPr="008379EC">
        <w:rPr>
          <w:rFonts w:ascii="David" w:hAnsi="David" w:cs="Arial" w:hint="cs"/>
          <w:sz w:val="18"/>
          <w:szCs w:val="18"/>
          <w:rtl/>
          <w:lang w:bidi="ar-SA"/>
        </w:rPr>
        <w:t>التقرير</w:t>
      </w:r>
      <w:r w:rsidR="00B52A00" w:rsidRPr="008379EC">
        <w:rPr>
          <w:rFonts w:ascii="David" w:hAnsi="David" w:cs="Arial"/>
          <w:sz w:val="18"/>
          <w:szCs w:val="18"/>
          <w:rtl/>
          <w:lang w:bidi="ar-SA"/>
        </w:rPr>
        <w:t xml:space="preserve"> ومتوسط ​​الهامش في الشهر الأخير من الربع السابق.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11A"/>
    <w:multiLevelType w:val="hybridMultilevel"/>
    <w:tmpl w:val="F7CE62BC"/>
    <w:lvl w:ilvl="0" w:tplc="B8BA4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C7A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9026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68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4D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CC91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E2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E9D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ECCC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C5C"/>
    <w:multiLevelType w:val="hybridMultilevel"/>
    <w:tmpl w:val="17CA1066"/>
    <w:lvl w:ilvl="0" w:tplc="8118F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A668AA" w:tentative="1">
      <w:start w:val="1"/>
      <w:numFmt w:val="lowerLetter"/>
      <w:lvlText w:val="%2."/>
      <w:lvlJc w:val="left"/>
      <w:pPr>
        <w:ind w:left="1440" w:hanging="360"/>
      </w:pPr>
    </w:lvl>
    <w:lvl w:ilvl="2" w:tplc="C0C4CD66" w:tentative="1">
      <w:start w:val="1"/>
      <w:numFmt w:val="lowerRoman"/>
      <w:lvlText w:val="%3."/>
      <w:lvlJc w:val="right"/>
      <w:pPr>
        <w:ind w:left="2160" w:hanging="180"/>
      </w:pPr>
    </w:lvl>
    <w:lvl w:ilvl="3" w:tplc="65504688" w:tentative="1">
      <w:start w:val="1"/>
      <w:numFmt w:val="decimal"/>
      <w:lvlText w:val="%4."/>
      <w:lvlJc w:val="left"/>
      <w:pPr>
        <w:ind w:left="2880" w:hanging="360"/>
      </w:pPr>
    </w:lvl>
    <w:lvl w:ilvl="4" w:tplc="558E92DC" w:tentative="1">
      <w:start w:val="1"/>
      <w:numFmt w:val="lowerLetter"/>
      <w:lvlText w:val="%5."/>
      <w:lvlJc w:val="left"/>
      <w:pPr>
        <w:ind w:left="3600" w:hanging="360"/>
      </w:pPr>
    </w:lvl>
    <w:lvl w:ilvl="5" w:tplc="7C646506" w:tentative="1">
      <w:start w:val="1"/>
      <w:numFmt w:val="lowerRoman"/>
      <w:lvlText w:val="%6."/>
      <w:lvlJc w:val="right"/>
      <w:pPr>
        <w:ind w:left="4320" w:hanging="180"/>
      </w:pPr>
    </w:lvl>
    <w:lvl w:ilvl="6" w:tplc="31C0E0B2" w:tentative="1">
      <w:start w:val="1"/>
      <w:numFmt w:val="decimal"/>
      <w:lvlText w:val="%7."/>
      <w:lvlJc w:val="left"/>
      <w:pPr>
        <w:ind w:left="5040" w:hanging="360"/>
      </w:pPr>
    </w:lvl>
    <w:lvl w:ilvl="7" w:tplc="A4B400A2" w:tentative="1">
      <w:start w:val="1"/>
      <w:numFmt w:val="lowerLetter"/>
      <w:lvlText w:val="%8."/>
      <w:lvlJc w:val="left"/>
      <w:pPr>
        <w:ind w:left="5760" w:hanging="360"/>
      </w:pPr>
    </w:lvl>
    <w:lvl w:ilvl="8" w:tplc="9C70F8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32EB"/>
    <w:multiLevelType w:val="hybridMultilevel"/>
    <w:tmpl w:val="646ACC84"/>
    <w:lvl w:ilvl="0" w:tplc="EE5AA13E">
      <w:start w:val="1"/>
      <w:numFmt w:val="decimal"/>
      <w:lvlText w:val="%1."/>
      <w:lvlJc w:val="left"/>
      <w:pPr>
        <w:ind w:left="720" w:hanging="360"/>
      </w:pPr>
    </w:lvl>
    <w:lvl w:ilvl="1" w:tplc="54B05268" w:tentative="1">
      <w:start w:val="1"/>
      <w:numFmt w:val="lowerLetter"/>
      <w:lvlText w:val="%2."/>
      <w:lvlJc w:val="left"/>
      <w:pPr>
        <w:ind w:left="1440" w:hanging="360"/>
      </w:pPr>
    </w:lvl>
    <w:lvl w:ilvl="2" w:tplc="EA7E8F1C" w:tentative="1">
      <w:start w:val="1"/>
      <w:numFmt w:val="lowerRoman"/>
      <w:lvlText w:val="%3."/>
      <w:lvlJc w:val="right"/>
      <w:pPr>
        <w:ind w:left="2160" w:hanging="180"/>
      </w:pPr>
    </w:lvl>
    <w:lvl w:ilvl="3" w:tplc="CA386C36" w:tentative="1">
      <w:start w:val="1"/>
      <w:numFmt w:val="decimal"/>
      <w:lvlText w:val="%4."/>
      <w:lvlJc w:val="left"/>
      <w:pPr>
        <w:ind w:left="2880" w:hanging="360"/>
      </w:pPr>
    </w:lvl>
    <w:lvl w:ilvl="4" w:tplc="C26AFBF6" w:tentative="1">
      <w:start w:val="1"/>
      <w:numFmt w:val="lowerLetter"/>
      <w:lvlText w:val="%5."/>
      <w:lvlJc w:val="left"/>
      <w:pPr>
        <w:ind w:left="3600" w:hanging="360"/>
      </w:pPr>
    </w:lvl>
    <w:lvl w:ilvl="5" w:tplc="D7AA1E14" w:tentative="1">
      <w:start w:val="1"/>
      <w:numFmt w:val="lowerRoman"/>
      <w:lvlText w:val="%6."/>
      <w:lvlJc w:val="right"/>
      <w:pPr>
        <w:ind w:left="4320" w:hanging="180"/>
      </w:pPr>
    </w:lvl>
    <w:lvl w:ilvl="6" w:tplc="3AB49658" w:tentative="1">
      <w:start w:val="1"/>
      <w:numFmt w:val="decimal"/>
      <w:lvlText w:val="%7."/>
      <w:lvlJc w:val="left"/>
      <w:pPr>
        <w:ind w:left="5040" w:hanging="360"/>
      </w:pPr>
    </w:lvl>
    <w:lvl w:ilvl="7" w:tplc="1C9870C0" w:tentative="1">
      <w:start w:val="1"/>
      <w:numFmt w:val="lowerLetter"/>
      <w:lvlText w:val="%8."/>
      <w:lvlJc w:val="left"/>
      <w:pPr>
        <w:ind w:left="5760" w:hanging="360"/>
      </w:pPr>
    </w:lvl>
    <w:lvl w:ilvl="8" w:tplc="065E8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283"/>
    <w:multiLevelType w:val="hybridMultilevel"/>
    <w:tmpl w:val="09067F40"/>
    <w:lvl w:ilvl="0" w:tplc="CCDE031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F364C354" w:tentative="1">
      <w:start w:val="1"/>
      <w:numFmt w:val="lowerLetter"/>
      <w:lvlText w:val="%2."/>
      <w:lvlJc w:val="left"/>
      <w:pPr>
        <w:ind w:left="1080" w:hanging="360"/>
      </w:pPr>
    </w:lvl>
    <w:lvl w:ilvl="2" w:tplc="EB6C3F52" w:tentative="1">
      <w:start w:val="1"/>
      <w:numFmt w:val="lowerRoman"/>
      <w:lvlText w:val="%3."/>
      <w:lvlJc w:val="right"/>
      <w:pPr>
        <w:ind w:left="1800" w:hanging="180"/>
      </w:pPr>
    </w:lvl>
    <w:lvl w:ilvl="3" w:tplc="C0BA4974" w:tentative="1">
      <w:start w:val="1"/>
      <w:numFmt w:val="decimal"/>
      <w:lvlText w:val="%4."/>
      <w:lvlJc w:val="left"/>
      <w:pPr>
        <w:ind w:left="2520" w:hanging="360"/>
      </w:pPr>
    </w:lvl>
    <w:lvl w:ilvl="4" w:tplc="49A0DAB8" w:tentative="1">
      <w:start w:val="1"/>
      <w:numFmt w:val="lowerLetter"/>
      <w:lvlText w:val="%5."/>
      <w:lvlJc w:val="left"/>
      <w:pPr>
        <w:ind w:left="3240" w:hanging="360"/>
      </w:pPr>
    </w:lvl>
    <w:lvl w:ilvl="5" w:tplc="78C20F14" w:tentative="1">
      <w:start w:val="1"/>
      <w:numFmt w:val="lowerRoman"/>
      <w:lvlText w:val="%6."/>
      <w:lvlJc w:val="right"/>
      <w:pPr>
        <w:ind w:left="3960" w:hanging="180"/>
      </w:pPr>
    </w:lvl>
    <w:lvl w:ilvl="6" w:tplc="B2FE29E2" w:tentative="1">
      <w:start w:val="1"/>
      <w:numFmt w:val="decimal"/>
      <w:lvlText w:val="%7."/>
      <w:lvlJc w:val="left"/>
      <w:pPr>
        <w:ind w:left="4680" w:hanging="360"/>
      </w:pPr>
    </w:lvl>
    <w:lvl w:ilvl="7" w:tplc="4CDC1152" w:tentative="1">
      <w:start w:val="1"/>
      <w:numFmt w:val="lowerLetter"/>
      <w:lvlText w:val="%8."/>
      <w:lvlJc w:val="left"/>
      <w:pPr>
        <w:ind w:left="5400" w:hanging="360"/>
      </w:pPr>
    </w:lvl>
    <w:lvl w:ilvl="8" w:tplc="F3EEA0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D2C5A"/>
    <w:multiLevelType w:val="hybridMultilevel"/>
    <w:tmpl w:val="57942E0E"/>
    <w:lvl w:ilvl="0" w:tplc="D1D2DB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13074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5C2AA4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2745D7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96A0BD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DB6418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A05D6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FAE457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AC17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AE6066"/>
    <w:multiLevelType w:val="hybridMultilevel"/>
    <w:tmpl w:val="460A4558"/>
    <w:lvl w:ilvl="0" w:tplc="7A1E3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1690EE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54A5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62E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24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882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097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CC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04D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34BD"/>
    <w:multiLevelType w:val="hybridMultilevel"/>
    <w:tmpl w:val="F672F482"/>
    <w:lvl w:ilvl="0" w:tplc="77F698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BFCD8D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5784E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EC088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A46229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DB86B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37E70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ADEE48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404A28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B70643"/>
    <w:multiLevelType w:val="hybridMultilevel"/>
    <w:tmpl w:val="6BD0A064"/>
    <w:lvl w:ilvl="0" w:tplc="782229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89A84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FB69A5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5C886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0B4055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9382C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18D6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5EED8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76C1E2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F71052"/>
    <w:multiLevelType w:val="hybridMultilevel"/>
    <w:tmpl w:val="9606FAEE"/>
    <w:lvl w:ilvl="0" w:tplc="3A1A80F4">
      <w:start w:val="1"/>
      <w:numFmt w:val="decimal"/>
      <w:lvlText w:val="%1."/>
      <w:lvlJc w:val="left"/>
      <w:pPr>
        <w:ind w:left="720" w:hanging="360"/>
      </w:pPr>
    </w:lvl>
    <w:lvl w:ilvl="1" w:tplc="9530B844" w:tentative="1">
      <w:start w:val="1"/>
      <w:numFmt w:val="lowerLetter"/>
      <w:lvlText w:val="%2."/>
      <w:lvlJc w:val="left"/>
      <w:pPr>
        <w:ind w:left="1440" w:hanging="360"/>
      </w:pPr>
    </w:lvl>
    <w:lvl w:ilvl="2" w:tplc="87509492" w:tentative="1">
      <w:start w:val="1"/>
      <w:numFmt w:val="lowerRoman"/>
      <w:lvlText w:val="%3."/>
      <w:lvlJc w:val="right"/>
      <w:pPr>
        <w:ind w:left="2160" w:hanging="180"/>
      </w:pPr>
    </w:lvl>
    <w:lvl w:ilvl="3" w:tplc="07C2DB52" w:tentative="1">
      <w:start w:val="1"/>
      <w:numFmt w:val="decimal"/>
      <w:lvlText w:val="%4."/>
      <w:lvlJc w:val="left"/>
      <w:pPr>
        <w:ind w:left="2880" w:hanging="360"/>
      </w:pPr>
    </w:lvl>
    <w:lvl w:ilvl="4" w:tplc="544651AA" w:tentative="1">
      <w:start w:val="1"/>
      <w:numFmt w:val="lowerLetter"/>
      <w:lvlText w:val="%5."/>
      <w:lvlJc w:val="left"/>
      <w:pPr>
        <w:ind w:left="3600" w:hanging="360"/>
      </w:pPr>
    </w:lvl>
    <w:lvl w:ilvl="5" w:tplc="5CF49014" w:tentative="1">
      <w:start w:val="1"/>
      <w:numFmt w:val="lowerRoman"/>
      <w:lvlText w:val="%6."/>
      <w:lvlJc w:val="right"/>
      <w:pPr>
        <w:ind w:left="4320" w:hanging="180"/>
      </w:pPr>
    </w:lvl>
    <w:lvl w:ilvl="6" w:tplc="B14A060E" w:tentative="1">
      <w:start w:val="1"/>
      <w:numFmt w:val="decimal"/>
      <w:lvlText w:val="%7."/>
      <w:lvlJc w:val="left"/>
      <w:pPr>
        <w:ind w:left="5040" w:hanging="360"/>
      </w:pPr>
    </w:lvl>
    <w:lvl w:ilvl="7" w:tplc="A464160A" w:tentative="1">
      <w:start w:val="1"/>
      <w:numFmt w:val="lowerLetter"/>
      <w:lvlText w:val="%8."/>
      <w:lvlJc w:val="left"/>
      <w:pPr>
        <w:ind w:left="5760" w:hanging="360"/>
      </w:pPr>
    </w:lvl>
    <w:lvl w:ilvl="8" w:tplc="D29C23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34AED"/>
    <w:multiLevelType w:val="hybridMultilevel"/>
    <w:tmpl w:val="440A9C16"/>
    <w:lvl w:ilvl="0" w:tplc="42D2F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7CD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B633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84A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AE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80A1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08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43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0E7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5319A"/>
    <w:multiLevelType w:val="hybridMultilevel"/>
    <w:tmpl w:val="919C9EC4"/>
    <w:lvl w:ilvl="0" w:tplc="FEA25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8014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CCFA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471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EE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63B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64C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400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18BA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34BC4"/>
    <w:multiLevelType w:val="hybridMultilevel"/>
    <w:tmpl w:val="ADA0641A"/>
    <w:lvl w:ilvl="0" w:tplc="B5307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C2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EEF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29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6C4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CCF5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6E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649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B0F8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9323D"/>
    <w:multiLevelType w:val="hybridMultilevel"/>
    <w:tmpl w:val="F0DA9E9E"/>
    <w:lvl w:ilvl="0" w:tplc="F1D8ADA2">
      <w:start w:val="1"/>
      <w:numFmt w:val="decimal"/>
      <w:lvlText w:val="%1."/>
      <w:lvlJc w:val="left"/>
      <w:pPr>
        <w:ind w:left="720" w:hanging="360"/>
      </w:pPr>
    </w:lvl>
    <w:lvl w:ilvl="1" w:tplc="B4E2DE80" w:tentative="1">
      <w:start w:val="1"/>
      <w:numFmt w:val="lowerLetter"/>
      <w:lvlText w:val="%2."/>
      <w:lvlJc w:val="left"/>
      <w:pPr>
        <w:ind w:left="1440" w:hanging="360"/>
      </w:pPr>
    </w:lvl>
    <w:lvl w:ilvl="2" w:tplc="904653F0" w:tentative="1">
      <w:start w:val="1"/>
      <w:numFmt w:val="lowerRoman"/>
      <w:lvlText w:val="%3."/>
      <w:lvlJc w:val="right"/>
      <w:pPr>
        <w:ind w:left="2160" w:hanging="180"/>
      </w:pPr>
    </w:lvl>
    <w:lvl w:ilvl="3" w:tplc="8FB44F2C" w:tentative="1">
      <w:start w:val="1"/>
      <w:numFmt w:val="decimal"/>
      <w:lvlText w:val="%4."/>
      <w:lvlJc w:val="left"/>
      <w:pPr>
        <w:ind w:left="2880" w:hanging="360"/>
      </w:pPr>
    </w:lvl>
    <w:lvl w:ilvl="4" w:tplc="E3EA2B3A" w:tentative="1">
      <w:start w:val="1"/>
      <w:numFmt w:val="lowerLetter"/>
      <w:lvlText w:val="%5."/>
      <w:lvlJc w:val="left"/>
      <w:pPr>
        <w:ind w:left="3600" w:hanging="360"/>
      </w:pPr>
    </w:lvl>
    <w:lvl w:ilvl="5" w:tplc="CE764202" w:tentative="1">
      <w:start w:val="1"/>
      <w:numFmt w:val="lowerRoman"/>
      <w:lvlText w:val="%6."/>
      <w:lvlJc w:val="right"/>
      <w:pPr>
        <w:ind w:left="4320" w:hanging="180"/>
      </w:pPr>
    </w:lvl>
    <w:lvl w:ilvl="6" w:tplc="D8248E46" w:tentative="1">
      <w:start w:val="1"/>
      <w:numFmt w:val="decimal"/>
      <w:lvlText w:val="%7."/>
      <w:lvlJc w:val="left"/>
      <w:pPr>
        <w:ind w:left="5040" w:hanging="360"/>
      </w:pPr>
    </w:lvl>
    <w:lvl w:ilvl="7" w:tplc="B5BC71CE" w:tentative="1">
      <w:start w:val="1"/>
      <w:numFmt w:val="lowerLetter"/>
      <w:lvlText w:val="%8."/>
      <w:lvlJc w:val="left"/>
      <w:pPr>
        <w:ind w:left="5760" w:hanging="360"/>
      </w:pPr>
    </w:lvl>
    <w:lvl w:ilvl="8" w:tplc="86BA2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B5811"/>
    <w:multiLevelType w:val="hybridMultilevel"/>
    <w:tmpl w:val="AB0EC1D6"/>
    <w:lvl w:ilvl="0" w:tplc="92CC0E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DC349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BC4BAD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66068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D296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18A06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1BE9B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E8E5AF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4ECDC6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24234C"/>
    <w:multiLevelType w:val="hybridMultilevel"/>
    <w:tmpl w:val="8506AE90"/>
    <w:lvl w:ilvl="0" w:tplc="68FCF870">
      <w:start w:val="1"/>
      <w:numFmt w:val="hebrew1"/>
      <w:lvlText w:val="%1."/>
      <w:lvlJc w:val="center"/>
      <w:pPr>
        <w:ind w:left="1440" w:hanging="360"/>
      </w:pPr>
    </w:lvl>
    <w:lvl w:ilvl="1" w:tplc="778A47FC" w:tentative="1">
      <w:start w:val="1"/>
      <w:numFmt w:val="lowerLetter"/>
      <w:lvlText w:val="%2."/>
      <w:lvlJc w:val="left"/>
      <w:pPr>
        <w:ind w:left="2160" w:hanging="360"/>
      </w:pPr>
    </w:lvl>
    <w:lvl w:ilvl="2" w:tplc="18B42EDE" w:tentative="1">
      <w:start w:val="1"/>
      <w:numFmt w:val="lowerRoman"/>
      <w:lvlText w:val="%3."/>
      <w:lvlJc w:val="right"/>
      <w:pPr>
        <w:ind w:left="2880" w:hanging="180"/>
      </w:pPr>
    </w:lvl>
    <w:lvl w:ilvl="3" w:tplc="6282758A" w:tentative="1">
      <w:start w:val="1"/>
      <w:numFmt w:val="decimal"/>
      <w:lvlText w:val="%4."/>
      <w:lvlJc w:val="left"/>
      <w:pPr>
        <w:ind w:left="3600" w:hanging="360"/>
      </w:pPr>
    </w:lvl>
    <w:lvl w:ilvl="4" w:tplc="BF4C7266" w:tentative="1">
      <w:start w:val="1"/>
      <w:numFmt w:val="lowerLetter"/>
      <w:lvlText w:val="%5."/>
      <w:lvlJc w:val="left"/>
      <w:pPr>
        <w:ind w:left="4320" w:hanging="360"/>
      </w:pPr>
    </w:lvl>
    <w:lvl w:ilvl="5" w:tplc="27C8AB1E" w:tentative="1">
      <w:start w:val="1"/>
      <w:numFmt w:val="lowerRoman"/>
      <w:lvlText w:val="%6."/>
      <w:lvlJc w:val="right"/>
      <w:pPr>
        <w:ind w:left="5040" w:hanging="180"/>
      </w:pPr>
    </w:lvl>
    <w:lvl w:ilvl="6" w:tplc="26CA5B88" w:tentative="1">
      <w:start w:val="1"/>
      <w:numFmt w:val="decimal"/>
      <w:lvlText w:val="%7."/>
      <w:lvlJc w:val="left"/>
      <w:pPr>
        <w:ind w:left="5760" w:hanging="360"/>
      </w:pPr>
    </w:lvl>
    <w:lvl w:ilvl="7" w:tplc="C9C07584" w:tentative="1">
      <w:start w:val="1"/>
      <w:numFmt w:val="lowerLetter"/>
      <w:lvlText w:val="%8."/>
      <w:lvlJc w:val="left"/>
      <w:pPr>
        <w:ind w:left="6480" w:hanging="360"/>
      </w:pPr>
    </w:lvl>
    <w:lvl w:ilvl="8" w:tplc="EA56879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7007A1"/>
    <w:multiLevelType w:val="hybridMultilevel"/>
    <w:tmpl w:val="3D6487AC"/>
    <w:lvl w:ilvl="0" w:tplc="397CABDC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B5FE7548" w:tentative="1">
      <w:start w:val="1"/>
      <w:numFmt w:val="lowerLetter"/>
      <w:lvlText w:val="%2."/>
      <w:lvlJc w:val="left"/>
      <w:pPr>
        <w:ind w:left="1440" w:hanging="360"/>
      </w:pPr>
    </w:lvl>
    <w:lvl w:ilvl="2" w:tplc="C7A0F62C" w:tentative="1">
      <w:start w:val="1"/>
      <w:numFmt w:val="lowerRoman"/>
      <w:lvlText w:val="%3."/>
      <w:lvlJc w:val="right"/>
      <w:pPr>
        <w:ind w:left="2160" w:hanging="180"/>
      </w:pPr>
    </w:lvl>
    <w:lvl w:ilvl="3" w:tplc="B6BA8A6A" w:tentative="1">
      <w:start w:val="1"/>
      <w:numFmt w:val="decimal"/>
      <w:lvlText w:val="%4."/>
      <w:lvlJc w:val="left"/>
      <w:pPr>
        <w:ind w:left="2880" w:hanging="360"/>
      </w:pPr>
    </w:lvl>
    <w:lvl w:ilvl="4" w:tplc="7F92670E" w:tentative="1">
      <w:start w:val="1"/>
      <w:numFmt w:val="lowerLetter"/>
      <w:lvlText w:val="%5."/>
      <w:lvlJc w:val="left"/>
      <w:pPr>
        <w:ind w:left="3600" w:hanging="360"/>
      </w:pPr>
    </w:lvl>
    <w:lvl w:ilvl="5" w:tplc="0FDCE904" w:tentative="1">
      <w:start w:val="1"/>
      <w:numFmt w:val="lowerRoman"/>
      <w:lvlText w:val="%6."/>
      <w:lvlJc w:val="right"/>
      <w:pPr>
        <w:ind w:left="4320" w:hanging="180"/>
      </w:pPr>
    </w:lvl>
    <w:lvl w:ilvl="6" w:tplc="DC66B654" w:tentative="1">
      <w:start w:val="1"/>
      <w:numFmt w:val="decimal"/>
      <w:lvlText w:val="%7."/>
      <w:lvlJc w:val="left"/>
      <w:pPr>
        <w:ind w:left="5040" w:hanging="360"/>
      </w:pPr>
    </w:lvl>
    <w:lvl w:ilvl="7" w:tplc="537C504A" w:tentative="1">
      <w:start w:val="1"/>
      <w:numFmt w:val="lowerLetter"/>
      <w:lvlText w:val="%8."/>
      <w:lvlJc w:val="left"/>
      <w:pPr>
        <w:ind w:left="5760" w:hanging="360"/>
      </w:pPr>
    </w:lvl>
    <w:lvl w:ilvl="8" w:tplc="80444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36B50"/>
    <w:multiLevelType w:val="hybridMultilevel"/>
    <w:tmpl w:val="424CAA7A"/>
    <w:lvl w:ilvl="0" w:tplc="3D2076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CE2775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B0AC0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4A66FC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BEA73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7CC004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120D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7361BA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79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9F0BED"/>
    <w:multiLevelType w:val="hybridMultilevel"/>
    <w:tmpl w:val="76F64B70"/>
    <w:lvl w:ilvl="0" w:tplc="166A5030">
      <w:start w:val="1"/>
      <w:numFmt w:val="decimal"/>
      <w:lvlText w:val="%1."/>
      <w:lvlJc w:val="left"/>
      <w:pPr>
        <w:ind w:left="720" w:hanging="360"/>
      </w:pPr>
    </w:lvl>
    <w:lvl w:ilvl="1" w:tplc="97A62F2A" w:tentative="1">
      <w:start w:val="1"/>
      <w:numFmt w:val="lowerLetter"/>
      <w:lvlText w:val="%2."/>
      <w:lvlJc w:val="left"/>
      <w:pPr>
        <w:ind w:left="1440" w:hanging="360"/>
      </w:pPr>
    </w:lvl>
    <w:lvl w:ilvl="2" w:tplc="BB506E62" w:tentative="1">
      <w:start w:val="1"/>
      <w:numFmt w:val="lowerRoman"/>
      <w:lvlText w:val="%3."/>
      <w:lvlJc w:val="right"/>
      <w:pPr>
        <w:ind w:left="2160" w:hanging="180"/>
      </w:pPr>
    </w:lvl>
    <w:lvl w:ilvl="3" w:tplc="2564FB40" w:tentative="1">
      <w:start w:val="1"/>
      <w:numFmt w:val="decimal"/>
      <w:lvlText w:val="%4."/>
      <w:lvlJc w:val="left"/>
      <w:pPr>
        <w:ind w:left="2880" w:hanging="360"/>
      </w:pPr>
    </w:lvl>
    <w:lvl w:ilvl="4" w:tplc="7CCE4BE2" w:tentative="1">
      <w:start w:val="1"/>
      <w:numFmt w:val="lowerLetter"/>
      <w:lvlText w:val="%5."/>
      <w:lvlJc w:val="left"/>
      <w:pPr>
        <w:ind w:left="3600" w:hanging="360"/>
      </w:pPr>
    </w:lvl>
    <w:lvl w:ilvl="5" w:tplc="AFC6D3B4" w:tentative="1">
      <w:start w:val="1"/>
      <w:numFmt w:val="lowerRoman"/>
      <w:lvlText w:val="%6."/>
      <w:lvlJc w:val="right"/>
      <w:pPr>
        <w:ind w:left="4320" w:hanging="180"/>
      </w:pPr>
    </w:lvl>
    <w:lvl w:ilvl="6" w:tplc="396C690E" w:tentative="1">
      <w:start w:val="1"/>
      <w:numFmt w:val="decimal"/>
      <w:lvlText w:val="%7."/>
      <w:lvlJc w:val="left"/>
      <w:pPr>
        <w:ind w:left="5040" w:hanging="360"/>
      </w:pPr>
    </w:lvl>
    <w:lvl w:ilvl="7" w:tplc="95D0BA7A" w:tentative="1">
      <w:start w:val="1"/>
      <w:numFmt w:val="lowerLetter"/>
      <w:lvlText w:val="%8."/>
      <w:lvlJc w:val="left"/>
      <w:pPr>
        <w:ind w:left="5760" w:hanging="360"/>
      </w:pPr>
    </w:lvl>
    <w:lvl w:ilvl="8" w:tplc="7408BB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6"/>
  </w:num>
  <w:num w:numId="5">
    <w:abstractNumId w:val="7"/>
  </w:num>
  <w:num w:numId="6">
    <w:abstractNumId w:val="13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17"/>
  </w:num>
  <w:num w:numId="15">
    <w:abstractNumId w:val="14"/>
  </w:num>
  <w:num w:numId="16">
    <w:abstractNumId w:val="9"/>
  </w:num>
  <w:num w:numId="17">
    <w:abstractNumId w:val="12"/>
  </w:num>
  <w:num w:numId="18">
    <w:abstractNumId w:val="15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0033"/>
    <w:rsid w:val="00001B6B"/>
    <w:rsid w:val="0000479D"/>
    <w:rsid w:val="00005682"/>
    <w:rsid w:val="00005C41"/>
    <w:rsid w:val="00006F5F"/>
    <w:rsid w:val="00007BB3"/>
    <w:rsid w:val="00011D14"/>
    <w:rsid w:val="0001318A"/>
    <w:rsid w:val="00015411"/>
    <w:rsid w:val="0001661B"/>
    <w:rsid w:val="00016772"/>
    <w:rsid w:val="00016D86"/>
    <w:rsid w:val="00017279"/>
    <w:rsid w:val="00017E48"/>
    <w:rsid w:val="00020DFD"/>
    <w:rsid w:val="00022AB8"/>
    <w:rsid w:val="0002432B"/>
    <w:rsid w:val="00025DCF"/>
    <w:rsid w:val="000265B2"/>
    <w:rsid w:val="00026A8C"/>
    <w:rsid w:val="00027743"/>
    <w:rsid w:val="0003169C"/>
    <w:rsid w:val="00031B67"/>
    <w:rsid w:val="00031B7D"/>
    <w:rsid w:val="000331F5"/>
    <w:rsid w:val="00034E1E"/>
    <w:rsid w:val="00036B93"/>
    <w:rsid w:val="00037E47"/>
    <w:rsid w:val="00040066"/>
    <w:rsid w:val="0004029A"/>
    <w:rsid w:val="000418F2"/>
    <w:rsid w:val="00041E30"/>
    <w:rsid w:val="00042F59"/>
    <w:rsid w:val="0004490E"/>
    <w:rsid w:val="00045455"/>
    <w:rsid w:val="00045838"/>
    <w:rsid w:val="000471CF"/>
    <w:rsid w:val="0004723C"/>
    <w:rsid w:val="00051063"/>
    <w:rsid w:val="0005169A"/>
    <w:rsid w:val="00052923"/>
    <w:rsid w:val="0005330D"/>
    <w:rsid w:val="000533F4"/>
    <w:rsid w:val="00053684"/>
    <w:rsid w:val="0005562A"/>
    <w:rsid w:val="00060B8A"/>
    <w:rsid w:val="00060D8E"/>
    <w:rsid w:val="00061B2A"/>
    <w:rsid w:val="00061F4B"/>
    <w:rsid w:val="0006247F"/>
    <w:rsid w:val="000624C1"/>
    <w:rsid w:val="000630AB"/>
    <w:rsid w:val="00063601"/>
    <w:rsid w:val="00063E86"/>
    <w:rsid w:val="00064830"/>
    <w:rsid w:val="00065320"/>
    <w:rsid w:val="00065C62"/>
    <w:rsid w:val="000679E2"/>
    <w:rsid w:val="00070391"/>
    <w:rsid w:val="000713E4"/>
    <w:rsid w:val="00075FC4"/>
    <w:rsid w:val="0007712F"/>
    <w:rsid w:val="00077991"/>
    <w:rsid w:val="000812AB"/>
    <w:rsid w:val="00081313"/>
    <w:rsid w:val="000822C2"/>
    <w:rsid w:val="00083913"/>
    <w:rsid w:val="00083DA6"/>
    <w:rsid w:val="00084689"/>
    <w:rsid w:val="00084BA4"/>
    <w:rsid w:val="00085BE0"/>
    <w:rsid w:val="000868CC"/>
    <w:rsid w:val="000874C1"/>
    <w:rsid w:val="000911D7"/>
    <w:rsid w:val="000915A6"/>
    <w:rsid w:val="0009315D"/>
    <w:rsid w:val="00097E8B"/>
    <w:rsid w:val="000A0E51"/>
    <w:rsid w:val="000A4B97"/>
    <w:rsid w:val="000A4C37"/>
    <w:rsid w:val="000A588A"/>
    <w:rsid w:val="000B083E"/>
    <w:rsid w:val="000B190F"/>
    <w:rsid w:val="000B1CB8"/>
    <w:rsid w:val="000B2F20"/>
    <w:rsid w:val="000B43AC"/>
    <w:rsid w:val="000B64F2"/>
    <w:rsid w:val="000B6B82"/>
    <w:rsid w:val="000B7AE3"/>
    <w:rsid w:val="000B7D5E"/>
    <w:rsid w:val="000C02AD"/>
    <w:rsid w:val="000C1DB1"/>
    <w:rsid w:val="000C22E5"/>
    <w:rsid w:val="000C3065"/>
    <w:rsid w:val="000C62F4"/>
    <w:rsid w:val="000D04D7"/>
    <w:rsid w:val="000D2923"/>
    <w:rsid w:val="000D4F03"/>
    <w:rsid w:val="000D62CC"/>
    <w:rsid w:val="000D756E"/>
    <w:rsid w:val="000E2E0B"/>
    <w:rsid w:val="000E3992"/>
    <w:rsid w:val="000E3B3B"/>
    <w:rsid w:val="000E3F1A"/>
    <w:rsid w:val="000E45F2"/>
    <w:rsid w:val="000E488B"/>
    <w:rsid w:val="000E51E0"/>
    <w:rsid w:val="000E59A0"/>
    <w:rsid w:val="000E5A37"/>
    <w:rsid w:val="000E6A23"/>
    <w:rsid w:val="000F0D97"/>
    <w:rsid w:val="000F225A"/>
    <w:rsid w:val="000F33EA"/>
    <w:rsid w:val="000F3559"/>
    <w:rsid w:val="000F3A6E"/>
    <w:rsid w:val="000F5653"/>
    <w:rsid w:val="000F5E2D"/>
    <w:rsid w:val="000F7E97"/>
    <w:rsid w:val="000F7FFC"/>
    <w:rsid w:val="00100BA5"/>
    <w:rsid w:val="00100FBE"/>
    <w:rsid w:val="0010106E"/>
    <w:rsid w:val="00102BB4"/>
    <w:rsid w:val="00105A31"/>
    <w:rsid w:val="00105B59"/>
    <w:rsid w:val="0010631C"/>
    <w:rsid w:val="0010731B"/>
    <w:rsid w:val="00107D10"/>
    <w:rsid w:val="00113992"/>
    <w:rsid w:val="00115A6D"/>
    <w:rsid w:val="00115A82"/>
    <w:rsid w:val="00115F7A"/>
    <w:rsid w:val="001165EA"/>
    <w:rsid w:val="0011712D"/>
    <w:rsid w:val="001178ED"/>
    <w:rsid w:val="00117C7B"/>
    <w:rsid w:val="00120538"/>
    <w:rsid w:val="00121197"/>
    <w:rsid w:val="0012175B"/>
    <w:rsid w:val="00121FF7"/>
    <w:rsid w:val="00125E7E"/>
    <w:rsid w:val="00127335"/>
    <w:rsid w:val="00127A67"/>
    <w:rsid w:val="00127CE7"/>
    <w:rsid w:val="00130EF4"/>
    <w:rsid w:val="0013147B"/>
    <w:rsid w:val="001316A1"/>
    <w:rsid w:val="001329B0"/>
    <w:rsid w:val="00132A42"/>
    <w:rsid w:val="00137006"/>
    <w:rsid w:val="001371A8"/>
    <w:rsid w:val="0013752D"/>
    <w:rsid w:val="001400D2"/>
    <w:rsid w:val="001428C6"/>
    <w:rsid w:val="001431B5"/>
    <w:rsid w:val="00143BC9"/>
    <w:rsid w:val="00144AA6"/>
    <w:rsid w:val="00146694"/>
    <w:rsid w:val="001503F7"/>
    <w:rsid w:val="001510D4"/>
    <w:rsid w:val="0015398D"/>
    <w:rsid w:val="00153AFA"/>
    <w:rsid w:val="001543AD"/>
    <w:rsid w:val="00154A18"/>
    <w:rsid w:val="0015588B"/>
    <w:rsid w:val="00155BCE"/>
    <w:rsid w:val="00160D95"/>
    <w:rsid w:val="00161CB7"/>
    <w:rsid w:val="0016265F"/>
    <w:rsid w:val="00162787"/>
    <w:rsid w:val="00164C8D"/>
    <w:rsid w:val="00166C6B"/>
    <w:rsid w:val="001674DB"/>
    <w:rsid w:val="00167810"/>
    <w:rsid w:val="0017002C"/>
    <w:rsid w:val="00171BC9"/>
    <w:rsid w:val="00177656"/>
    <w:rsid w:val="00177686"/>
    <w:rsid w:val="00180E8A"/>
    <w:rsid w:val="00182968"/>
    <w:rsid w:val="0018611E"/>
    <w:rsid w:val="00186495"/>
    <w:rsid w:val="0018670E"/>
    <w:rsid w:val="0019015A"/>
    <w:rsid w:val="001909E1"/>
    <w:rsid w:val="001919A9"/>
    <w:rsid w:val="00193A25"/>
    <w:rsid w:val="001943E3"/>
    <w:rsid w:val="00194480"/>
    <w:rsid w:val="001945CE"/>
    <w:rsid w:val="00195BBF"/>
    <w:rsid w:val="0019703C"/>
    <w:rsid w:val="001B15F7"/>
    <w:rsid w:val="001B3789"/>
    <w:rsid w:val="001B3C3C"/>
    <w:rsid w:val="001B449D"/>
    <w:rsid w:val="001B5224"/>
    <w:rsid w:val="001B66C5"/>
    <w:rsid w:val="001B7F02"/>
    <w:rsid w:val="001C147B"/>
    <w:rsid w:val="001C3A62"/>
    <w:rsid w:val="001C5132"/>
    <w:rsid w:val="001C5C40"/>
    <w:rsid w:val="001C6A2A"/>
    <w:rsid w:val="001D0A90"/>
    <w:rsid w:val="001D0BF2"/>
    <w:rsid w:val="001D0E31"/>
    <w:rsid w:val="001D1D97"/>
    <w:rsid w:val="001D364B"/>
    <w:rsid w:val="001D3779"/>
    <w:rsid w:val="001D4219"/>
    <w:rsid w:val="001D5779"/>
    <w:rsid w:val="001D5AF0"/>
    <w:rsid w:val="001D7646"/>
    <w:rsid w:val="001D7A17"/>
    <w:rsid w:val="001E59C7"/>
    <w:rsid w:val="001E5A00"/>
    <w:rsid w:val="001E6A4B"/>
    <w:rsid w:val="001E7722"/>
    <w:rsid w:val="001E78A9"/>
    <w:rsid w:val="001E7B40"/>
    <w:rsid w:val="001E7FA8"/>
    <w:rsid w:val="001F0454"/>
    <w:rsid w:val="001F0A9C"/>
    <w:rsid w:val="001F0C50"/>
    <w:rsid w:val="001F1E1B"/>
    <w:rsid w:val="001F337A"/>
    <w:rsid w:val="001F436F"/>
    <w:rsid w:val="001F4B92"/>
    <w:rsid w:val="001F50C9"/>
    <w:rsid w:val="001F529C"/>
    <w:rsid w:val="00200A24"/>
    <w:rsid w:val="00201C46"/>
    <w:rsid w:val="002034FF"/>
    <w:rsid w:val="0020745C"/>
    <w:rsid w:val="00207836"/>
    <w:rsid w:val="002078CD"/>
    <w:rsid w:val="00207EF6"/>
    <w:rsid w:val="00210333"/>
    <w:rsid w:val="00210E2D"/>
    <w:rsid w:val="0021293F"/>
    <w:rsid w:val="00214D6B"/>
    <w:rsid w:val="00215BB4"/>
    <w:rsid w:val="00215C28"/>
    <w:rsid w:val="00215E7F"/>
    <w:rsid w:val="00215EFF"/>
    <w:rsid w:val="0022046E"/>
    <w:rsid w:val="00221420"/>
    <w:rsid w:val="00222DD1"/>
    <w:rsid w:val="002232D2"/>
    <w:rsid w:val="002237E5"/>
    <w:rsid w:val="0022486C"/>
    <w:rsid w:val="00224C3D"/>
    <w:rsid w:val="00224F08"/>
    <w:rsid w:val="00225651"/>
    <w:rsid w:val="00225A4F"/>
    <w:rsid w:val="00226D37"/>
    <w:rsid w:val="00227BB9"/>
    <w:rsid w:val="0023142A"/>
    <w:rsid w:val="002318C9"/>
    <w:rsid w:val="002319C1"/>
    <w:rsid w:val="00237314"/>
    <w:rsid w:val="00242FFE"/>
    <w:rsid w:val="002430F6"/>
    <w:rsid w:val="002438E2"/>
    <w:rsid w:val="00244ABC"/>
    <w:rsid w:val="00244CD6"/>
    <w:rsid w:val="00246382"/>
    <w:rsid w:val="00246DFF"/>
    <w:rsid w:val="00250CB1"/>
    <w:rsid w:val="00251288"/>
    <w:rsid w:val="0025170C"/>
    <w:rsid w:val="00252CD1"/>
    <w:rsid w:val="00254010"/>
    <w:rsid w:val="0025408D"/>
    <w:rsid w:val="002559B7"/>
    <w:rsid w:val="00255A4E"/>
    <w:rsid w:val="00260F11"/>
    <w:rsid w:val="002618F7"/>
    <w:rsid w:val="00262BEB"/>
    <w:rsid w:val="00263083"/>
    <w:rsid w:val="00264230"/>
    <w:rsid w:val="00265361"/>
    <w:rsid w:val="00266DC3"/>
    <w:rsid w:val="00270769"/>
    <w:rsid w:val="0027192B"/>
    <w:rsid w:val="00272075"/>
    <w:rsid w:val="002725AB"/>
    <w:rsid w:val="00274A6A"/>
    <w:rsid w:val="002777F9"/>
    <w:rsid w:val="00280F81"/>
    <w:rsid w:val="00281247"/>
    <w:rsid w:val="0028327B"/>
    <w:rsid w:val="00283EC9"/>
    <w:rsid w:val="00284B68"/>
    <w:rsid w:val="002868D9"/>
    <w:rsid w:val="00286AB2"/>
    <w:rsid w:val="00287BE1"/>
    <w:rsid w:val="00287E45"/>
    <w:rsid w:val="00292BAD"/>
    <w:rsid w:val="00295751"/>
    <w:rsid w:val="00296249"/>
    <w:rsid w:val="00296A2E"/>
    <w:rsid w:val="002972B4"/>
    <w:rsid w:val="0029790E"/>
    <w:rsid w:val="00297AC5"/>
    <w:rsid w:val="002A0469"/>
    <w:rsid w:val="002A2482"/>
    <w:rsid w:val="002A2B75"/>
    <w:rsid w:val="002A3BD5"/>
    <w:rsid w:val="002A3CD7"/>
    <w:rsid w:val="002A51F1"/>
    <w:rsid w:val="002A5C23"/>
    <w:rsid w:val="002A60C4"/>
    <w:rsid w:val="002A6176"/>
    <w:rsid w:val="002A7C01"/>
    <w:rsid w:val="002B0D33"/>
    <w:rsid w:val="002B0F7F"/>
    <w:rsid w:val="002B39A4"/>
    <w:rsid w:val="002B3FB0"/>
    <w:rsid w:val="002B447B"/>
    <w:rsid w:val="002B4634"/>
    <w:rsid w:val="002B51C5"/>
    <w:rsid w:val="002B74E5"/>
    <w:rsid w:val="002C2286"/>
    <w:rsid w:val="002C29DA"/>
    <w:rsid w:val="002C3A77"/>
    <w:rsid w:val="002C515A"/>
    <w:rsid w:val="002C7213"/>
    <w:rsid w:val="002C73B0"/>
    <w:rsid w:val="002C756B"/>
    <w:rsid w:val="002D0A59"/>
    <w:rsid w:val="002D0BB5"/>
    <w:rsid w:val="002D0FD7"/>
    <w:rsid w:val="002D1779"/>
    <w:rsid w:val="002D3C1F"/>
    <w:rsid w:val="002D55C7"/>
    <w:rsid w:val="002D5D55"/>
    <w:rsid w:val="002D690B"/>
    <w:rsid w:val="002E016D"/>
    <w:rsid w:val="002E1283"/>
    <w:rsid w:val="002E18A1"/>
    <w:rsid w:val="002E20F7"/>
    <w:rsid w:val="002E2CC4"/>
    <w:rsid w:val="002E4976"/>
    <w:rsid w:val="002E5ADF"/>
    <w:rsid w:val="002E5AEA"/>
    <w:rsid w:val="002E6CC3"/>
    <w:rsid w:val="002E7A87"/>
    <w:rsid w:val="002F0816"/>
    <w:rsid w:val="002F2629"/>
    <w:rsid w:val="002F2BC6"/>
    <w:rsid w:val="002F6C4C"/>
    <w:rsid w:val="00300E82"/>
    <w:rsid w:val="003018A7"/>
    <w:rsid w:val="003030A9"/>
    <w:rsid w:val="00303DA6"/>
    <w:rsid w:val="003054F9"/>
    <w:rsid w:val="003055E7"/>
    <w:rsid w:val="00310281"/>
    <w:rsid w:val="003138AF"/>
    <w:rsid w:val="00313A42"/>
    <w:rsid w:val="00315DCB"/>
    <w:rsid w:val="00317948"/>
    <w:rsid w:val="00320FD1"/>
    <w:rsid w:val="0032217A"/>
    <w:rsid w:val="00322FC0"/>
    <w:rsid w:val="00323164"/>
    <w:rsid w:val="003240D3"/>
    <w:rsid w:val="00324EF2"/>
    <w:rsid w:val="0032510F"/>
    <w:rsid w:val="0033214F"/>
    <w:rsid w:val="0033261D"/>
    <w:rsid w:val="00332C1F"/>
    <w:rsid w:val="00333F8E"/>
    <w:rsid w:val="0033491E"/>
    <w:rsid w:val="00335B61"/>
    <w:rsid w:val="00340B38"/>
    <w:rsid w:val="0034285A"/>
    <w:rsid w:val="00342DC4"/>
    <w:rsid w:val="003439F5"/>
    <w:rsid w:val="00344B00"/>
    <w:rsid w:val="00347905"/>
    <w:rsid w:val="0035070F"/>
    <w:rsid w:val="003509EF"/>
    <w:rsid w:val="00351EF0"/>
    <w:rsid w:val="00352779"/>
    <w:rsid w:val="0035292B"/>
    <w:rsid w:val="00352E42"/>
    <w:rsid w:val="003537B9"/>
    <w:rsid w:val="003576B2"/>
    <w:rsid w:val="00357818"/>
    <w:rsid w:val="00362735"/>
    <w:rsid w:val="00363D6A"/>
    <w:rsid w:val="003641D5"/>
    <w:rsid w:val="003643DB"/>
    <w:rsid w:val="003645A9"/>
    <w:rsid w:val="00364AB7"/>
    <w:rsid w:val="003657E7"/>
    <w:rsid w:val="00365E04"/>
    <w:rsid w:val="00366DB6"/>
    <w:rsid w:val="003700E8"/>
    <w:rsid w:val="00370901"/>
    <w:rsid w:val="00370E38"/>
    <w:rsid w:val="003713E8"/>
    <w:rsid w:val="00374BF3"/>
    <w:rsid w:val="0037614E"/>
    <w:rsid w:val="003766F9"/>
    <w:rsid w:val="00377C33"/>
    <w:rsid w:val="00377EEF"/>
    <w:rsid w:val="0038353E"/>
    <w:rsid w:val="0038394F"/>
    <w:rsid w:val="00383F02"/>
    <w:rsid w:val="00385301"/>
    <w:rsid w:val="00385D3E"/>
    <w:rsid w:val="003901E0"/>
    <w:rsid w:val="00390EEB"/>
    <w:rsid w:val="00391D6C"/>
    <w:rsid w:val="003928D7"/>
    <w:rsid w:val="003938AB"/>
    <w:rsid w:val="00393DF4"/>
    <w:rsid w:val="00393F9C"/>
    <w:rsid w:val="00395B72"/>
    <w:rsid w:val="00395C51"/>
    <w:rsid w:val="00395C57"/>
    <w:rsid w:val="003A0061"/>
    <w:rsid w:val="003A0AEC"/>
    <w:rsid w:val="003A0C66"/>
    <w:rsid w:val="003A0F9B"/>
    <w:rsid w:val="003A242C"/>
    <w:rsid w:val="003A2FA2"/>
    <w:rsid w:val="003A2FA9"/>
    <w:rsid w:val="003A315C"/>
    <w:rsid w:val="003A43C0"/>
    <w:rsid w:val="003A48D2"/>
    <w:rsid w:val="003A490D"/>
    <w:rsid w:val="003A4966"/>
    <w:rsid w:val="003A5570"/>
    <w:rsid w:val="003A5BCB"/>
    <w:rsid w:val="003A704C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5138"/>
    <w:rsid w:val="003B61BA"/>
    <w:rsid w:val="003B663C"/>
    <w:rsid w:val="003B6ADF"/>
    <w:rsid w:val="003B7A1D"/>
    <w:rsid w:val="003C51A6"/>
    <w:rsid w:val="003C5F2C"/>
    <w:rsid w:val="003C751F"/>
    <w:rsid w:val="003D04A2"/>
    <w:rsid w:val="003D06D2"/>
    <w:rsid w:val="003D075F"/>
    <w:rsid w:val="003D54D0"/>
    <w:rsid w:val="003E05CD"/>
    <w:rsid w:val="003E0B37"/>
    <w:rsid w:val="003E0E1D"/>
    <w:rsid w:val="003E0F88"/>
    <w:rsid w:val="003E2965"/>
    <w:rsid w:val="003E3AEF"/>
    <w:rsid w:val="003E3E81"/>
    <w:rsid w:val="003E4002"/>
    <w:rsid w:val="003E57B2"/>
    <w:rsid w:val="003E68CF"/>
    <w:rsid w:val="003F12AD"/>
    <w:rsid w:val="003F1530"/>
    <w:rsid w:val="003F1CD9"/>
    <w:rsid w:val="003F1F03"/>
    <w:rsid w:val="003F240A"/>
    <w:rsid w:val="003F39B8"/>
    <w:rsid w:val="003F4002"/>
    <w:rsid w:val="003F454D"/>
    <w:rsid w:val="003F728C"/>
    <w:rsid w:val="00400630"/>
    <w:rsid w:val="004024AB"/>
    <w:rsid w:val="00402A67"/>
    <w:rsid w:val="00406618"/>
    <w:rsid w:val="00406F28"/>
    <w:rsid w:val="00410DE0"/>
    <w:rsid w:val="0041358A"/>
    <w:rsid w:val="004146D6"/>
    <w:rsid w:val="00416818"/>
    <w:rsid w:val="004169F7"/>
    <w:rsid w:val="004175C9"/>
    <w:rsid w:val="00417C8B"/>
    <w:rsid w:val="00417CF1"/>
    <w:rsid w:val="00420F93"/>
    <w:rsid w:val="00421914"/>
    <w:rsid w:val="00422392"/>
    <w:rsid w:val="00424BF3"/>
    <w:rsid w:val="00426001"/>
    <w:rsid w:val="004268D2"/>
    <w:rsid w:val="00426A9C"/>
    <w:rsid w:val="00430C72"/>
    <w:rsid w:val="0043226F"/>
    <w:rsid w:val="00434DF5"/>
    <w:rsid w:val="00440BC4"/>
    <w:rsid w:val="00443C50"/>
    <w:rsid w:val="004442FD"/>
    <w:rsid w:val="00444F7C"/>
    <w:rsid w:val="0044713E"/>
    <w:rsid w:val="004474C7"/>
    <w:rsid w:val="0045197C"/>
    <w:rsid w:val="00453DD1"/>
    <w:rsid w:val="0045413E"/>
    <w:rsid w:val="00454BFC"/>
    <w:rsid w:val="00457394"/>
    <w:rsid w:val="004574EB"/>
    <w:rsid w:val="004606C0"/>
    <w:rsid w:val="00460712"/>
    <w:rsid w:val="004625EB"/>
    <w:rsid w:val="0046354A"/>
    <w:rsid w:val="00463AE6"/>
    <w:rsid w:val="004644F9"/>
    <w:rsid w:val="00464A9A"/>
    <w:rsid w:val="00466F96"/>
    <w:rsid w:val="00470630"/>
    <w:rsid w:val="00470996"/>
    <w:rsid w:val="004717A3"/>
    <w:rsid w:val="00472EDE"/>
    <w:rsid w:val="00474B96"/>
    <w:rsid w:val="00475350"/>
    <w:rsid w:val="004800EA"/>
    <w:rsid w:val="004806BA"/>
    <w:rsid w:val="00480FFC"/>
    <w:rsid w:val="00482D0E"/>
    <w:rsid w:val="00482D72"/>
    <w:rsid w:val="00484208"/>
    <w:rsid w:val="00485E7B"/>
    <w:rsid w:val="00485FEA"/>
    <w:rsid w:val="00491392"/>
    <w:rsid w:val="00492D70"/>
    <w:rsid w:val="00493882"/>
    <w:rsid w:val="00497BD0"/>
    <w:rsid w:val="004A41A6"/>
    <w:rsid w:val="004A4D65"/>
    <w:rsid w:val="004A4D9B"/>
    <w:rsid w:val="004A56B9"/>
    <w:rsid w:val="004A5B22"/>
    <w:rsid w:val="004A6D8C"/>
    <w:rsid w:val="004B051B"/>
    <w:rsid w:val="004B0707"/>
    <w:rsid w:val="004B22E7"/>
    <w:rsid w:val="004B3ECC"/>
    <w:rsid w:val="004B4238"/>
    <w:rsid w:val="004B58B8"/>
    <w:rsid w:val="004B5D8D"/>
    <w:rsid w:val="004B6112"/>
    <w:rsid w:val="004B6281"/>
    <w:rsid w:val="004B6405"/>
    <w:rsid w:val="004C1DAB"/>
    <w:rsid w:val="004C3D74"/>
    <w:rsid w:val="004C43DC"/>
    <w:rsid w:val="004C705A"/>
    <w:rsid w:val="004C7FE3"/>
    <w:rsid w:val="004D0866"/>
    <w:rsid w:val="004D216C"/>
    <w:rsid w:val="004D221E"/>
    <w:rsid w:val="004D285B"/>
    <w:rsid w:val="004D33E7"/>
    <w:rsid w:val="004D5F4D"/>
    <w:rsid w:val="004D63EE"/>
    <w:rsid w:val="004D746B"/>
    <w:rsid w:val="004D763E"/>
    <w:rsid w:val="004D79EB"/>
    <w:rsid w:val="004E2566"/>
    <w:rsid w:val="004E269E"/>
    <w:rsid w:val="004E5ED7"/>
    <w:rsid w:val="004E6C07"/>
    <w:rsid w:val="004F06E0"/>
    <w:rsid w:val="004F11E4"/>
    <w:rsid w:val="004F16EA"/>
    <w:rsid w:val="004F185A"/>
    <w:rsid w:val="004F1EB9"/>
    <w:rsid w:val="004F3279"/>
    <w:rsid w:val="004F3600"/>
    <w:rsid w:val="004F426F"/>
    <w:rsid w:val="004F4C1F"/>
    <w:rsid w:val="004F4E43"/>
    <w:rsid w:val="004F75E3"/>
    <w:rsid w:val="0050090B"/>
    <w:rsid w:val="00502068"/>
    <w:rsid w:val="00502294"/>
    <w:rsid w:val="00503C23"/>
    <w:rsid w:val="00503CF8"/>
    <w:rsid w:val="005042A9"/>
    <w:rsid w:val="0050443A"/>
    <w:rsid w:val="005059C7"/>
    <w:rsid w:val="00507193"/>
    <w:rsid w:val="00507235"/>
    <w:rsid w:val="00510ABA"/>
    <w:rsid w:val="005119D1"/>
    <w:rsid w:val="00512F84"/>
    <w:rsid w:val="00513779"/>
    <w:rsid w:val="00513C0C"/>
    <w:rsid w:val="00513E5C"/>
    <w:rsid w:val="00516A2C"/>
    <w:rsid w:val="00520122"/>
    <w:rsid w:val="0052077E"/>
    <w:rsid w:val="00521DE3"/>
    <w:rsid w:val="00522BB0"/>
    <w:rsid w:val="00525983"/>
    <w:rsid w:val="00525A49"/>
    <w:rsid w:val="00525B9D"/>
    <w:rsid w:val="00526641"/>
    <w:rsid w:val="00527D1B"/>
    <w:rsid w:val="005322EF"/>
    <w:rsid w:val="005324CF"/>
    <w:rsid w:val="00532713"/>
    <w:rsid w:val="005328F1"/>
    <w:rsid w:val="00534C99"/>
    <w:rsid w:val="005361DC"/>
    <w:rsid w:val="0054311D"/>
    <w:rsid w:val="0054512E"/>
    <w:rsid w:val="00545F0B"/>
    <w:rsid w:val="00546295"/>
    <w:rsid w:val="005528A7"/>
    <w:rsid w:val="00555BDD"/>
    <w:rsid w:val="0056103E"/>
    <w:rsid w:val="00561E57"/>
    <w:rsid w:val="0056258A"/>
    <w:rsid w:val="005631AE"/>
    <w:rsid w:val="0057037A"/>
    <w:rsid w:val="00571E37"/>
    <w:rsid w:val="00572730"/>
    <w:rsid w:val="00572B04"/>
    <w:rsid w:val="00573545"/>
    <w:rsid w:val="00574044"/>
    <w:rsid w:val="00577146"/>
    <w:rsid w:val="0058065E"/>
    <w:rsid w:val="005816B4"/>
    <w:rsid w:val="0058184B"/>
    <w:rsid w:val="00584275"/>
    <w:rsid w:val="0058468A"/>
    <w:rsid w:val="00585612"/>
    <w:rsid w:val="005861E2"/>
    <w:rsid w:val="00586F2A"/>
    <w:rsid w:val="0059006A"/>
    <w:rsid w:val="005913CE"/>
    <w:rsid w:val="00591B6A"/>
    <w:rsid w:val="005921D5"/>
    <w:rsid w:val="005927B2"/>
    <w:rsid w:val="005951B2"/>
    <w:rsid w:val="005958D0"/>
    <w:rsid w:val="00596389"/>
    <w:rsid w:val="00596E1D"/>
    <w:rsid w:val="005972B0"/>
    <w:rsid w:val="005A199D"/>
    <w:rsid w:val="005A3573"/>
    <w:rsid w:val="005A4B9C"/>
    <w:rsid w:val="005A57B0"/>
    <w:rsid w:val="005A5B31"/>
    <w:rsid w:val="005A6311"/>
    <w:rsid w:val="005A6536"/>
    <w:rsid w:val="005A7029"/>
    <w:rsid w:val="005B077D"/>
    <w:rsid w:val="005B2057"/>
    <w:rsid w:val="005B24B3"/>
    <w:rsid w:val="005B3C69"/>
    <w:rsid w:val="005B77A0"/>
    <w:rsid w:val="005C110F"/>
    <w:rsid w:val="005C1140"/>
    <w:rsid w:val="005C246C"/>
    <w:rsid w:val="005C32B3"/>
    <w:rsid w:val="005C5130"/>
    <w:rsid w:val="005C538A"/>
    <w:rsid w:val="005C5F1D"/>
    <w:rsid w:val="005D010B"/>
    <w:rsid w:val="005D012F"/>
    <w:rsid w:val="005D0E2A"/>
    <w:rsid w:val="005D6B64"/>
    <w:rsid w:val="005D7985"/>
    <w:rsid w:val="005E03D1"/>
    <w:rsid w:val="005E1185"/>
    <w:rsid w:val="005E2DFC"/>
    <w:rsid w:val="005E409F"/>
    <w:rsid w:val="005E40CD"/>
    <w:rsid w:val="005E6AF0"/>
    <w:rsid w:val="005E77A7"/>
    <w:rsid w:val="005E7841"/>
    <w:rsid w:val="005F2819"/>
    <w:rsid w:val="005F2C26"/>
    <w:rsid w:val="005F482A"/>
    <w:rsid w:val="005F663A"/>
    <w:rsid w:val="005F7B30"/>
    <w:rsid w:val="00600143"/>
    <w:rsid w:val="00600591"/>
    <w:rsid w:val="0060154B"/>
    <w:rsid w:val="006028EA"/>
    <w:rsid w:val="00602952"/>
    <w:rsid w:val="00602DED"/>
    <w:rsid w:val="006038EA"/>
    <w:rsid w:val="006042F7"/>
    <w:rsid w:val="0060434F"/>
    <w:rsid w:val="006043D4"/>
    <w:rsid w:val="00604E10"/>
    <w:rsid w:val="00605B3E"/>
    <w:rsid w:val="00612DAA"/>
    <w:rsid w:val="00613223"/>
    <w:rsid w:val="00614095"/>
    <w:rsid w:val="006176B8"/>
    <w:rsid w:val="006212AD"/>
    <w:rsid w:val="006219DA"/>
    <w:rsid w:val="00622E34"/>
    <w:rsid w:val="00624066"/>
    <w:rsid w:val="00624A20"/>
    <w:rsid w:val="00624C40"/>
    <w:rsid w:val="00626A71"/>
    <w:rsid w:val="00631445"/>
    <w:rsid w:val="00631A91"/>
    <w:rsid w:val="006321B1"/>
    <w:rsid w:val="00632F81"/>
    <w:rsid w:val="00633FBB"/>
    <w:rsid w:val="006345E5"/>
    <w:rsid w:val="00635BDC"/>
    <w:rsid w:val="00636483"/>
    <w:rsid w:val="00636A4D"/>
    <w:rsid w:val="006373FB"/>
    <w:rsid w:val="00637ECD"/>
    <w:rsid w:val="006407DF"/>
    <w:rsid w:val="0064196B"/>
    <w:rsid w:val="00641D43"/>
    <w:rsid w:val="00641E05"/>
    <w:rsid w:val="00643343"/>
    <w:rsid w:val="00644325"/>
    <w:rsid w:val="006453AB"/>
    <w:rsid w:val="0064551B"/>
    <w:rsid w:val="00645D90"/>
    <w:rsid w:val="00647C7D"/>
    <w:rsid w:val="00650A9D"/>
    <w:rsid w:val="006521F9"/>
    <w:rsid w:val="00652294"/>
    <w:rsid w:val="006545EB"/>
    <w:rsid w:val="00656E22"/>
    <w:rsid w:val="0065738D"/>
    <w:rsid w:val="006635BB"/>
    <w:rsid w:val="00663A42"/>
    <w:rsid w:val="00664600"/>
    <w:rsid w:val="00664A0B"/>
    <w:rsid w:val="00665A1C"/>
    <w:rsid w:val="0066628A"/>
    <w:rsid w:val="0066738B"/>
    <w:rsid w:val="006677B2"/>
    <w:rsid w:val="00670D97"/>
    <w:rsid w:val="00674FDA"/>
    <w:rsid w:val="00675551"/>
    <w:rsid w:val="00675FDA"/>
    <w:rsid w:val="00676F2C"/>
    <w:rsid w:val="0067784B"/>
    <w:rsid w:val="00680039"/>
    <w:rsid w:val="006816CE"/>
    <w:rsid w:val="006819E9"/>
    <w:rsid w:val="00682B0D"/>
    <w:rsid w:val="00687A6D"/>
    <w:rsid w:val="0069062B"/>
    <w:rsid w:val="00691556"/>
    <w:rsid w:val="00693EF0"/>
    <w:rsid w:val="00695778"/>
    <w:rsid w:val="006957E0"/>
    <w:rsid w:val="00695929"/>
    <w:rsid w:val="006961B2"/>
    <w:rsid w:val="00697C2E"/>
    <w:rsid w:val="006A160B"/>
    <w:rsid w:val="006A16E5"/>
    <w:rsid w:val="006A27D2"/>
    <w:rsid w:val="006A3C62"/>
    <w:rsid w:val="006A4A2C"/>
    <w:rsid w:val="006A66B4"/>
    <w:rsid w:val="006A7088"/>
    <w:rsid w:val="006B0BAE"/>
    <w:rsid w:val="006B0F70"/>
    <w:rsid w:val="006B2887"/>
    <w:rsid w:val="006B2FAC"/>
    <w:rsid w:val="006B454E"/>
    <w:rsid w:val="006B58A2"/>
    <w:rsid w:val="006B5F3A"/>
    <w:rsid w:val="006B609F"/>
    <w:rsid w:val="006B624E"/>
    <w:rsid w:val="006B6ACF"/>
    <w:rsid w:val="006B6CFA"/>
    <w:rsid w:val="006C01FB"/>
    <w:rsid w:val="006C165A"/>
    <w:rsid w:val="006C1BE6"/>
    <w:rsid w:val="006C1D55"/>
    <w:rsid w:val="006C27C7"/>
    <w:rsid w:val="006C5ACA"/>
    <w:rsid w:val="006C76C4"/>
    <w:rsid w:val="006C7A06"/>
    <w:rsid w:val="006C7F16"/>
    <w:rsid w:val="006D0C16"/>
    <w:rsid w:val="006D326D"/>
    <w:rsid w:val="006D3752"/>
    <w:rsid w:val="006D455E"/>
    <w:rsid w:val="006D526D"/>
    <w:rsid w:val="006D6ECC"/>
    <w:rsid w:val="006D6EEC"/>
    <w:rsid w:val="006D7644"/>
    <w:rsid w:val="006E0537"/>
    <w:rsid w:val="006E2BD3"/>
    <w:rsid w:val="006E4F10"/>
    <w:rsid w:val="006E56BA"/>
    <w:rsid w:val="006E6726"/>
    <w:rsid w:val="006E7116"/>
    <w:rsid w:val="006E7BF6"/>
    <w:rsid w:val="006F0620"/>
    <w:rsid w:val="006F3512"/>
    <w:rsid w:val="006F41F7"/>
    <w:rsid w:val="006F51DB"/>
    <w:rsid w:val="006F5E34"/>
    <w:rsid w:val="0070161A"/>
    <w:rsid w:val="007037CB"/>
    <w:rsid w:val="00704013"/>
    <w:rsid w:val="007102C4"/>
    <w:rsid w:val="0071464F"/>
    <w:rsid w:val="0071466B"/>
    <w:rsid w:val="00715807"/>
    <w:rsid w:val="0071581F"/>
    <w:rsid w:val="0071617D"/>
    <w:rsid w:val="00716EF2"/>
    <w:rsid w:val="00717F4B"/>
    <w:rsid w:val="00720923"/>
    <w:rsid w:val="00720EA1"/>
    <w:rsid w:val="00725208"/>
    <w:rsid w:val="00725739"/>
    <w:rsid w:val="00727054"/>
    <w:rsid w:val="00734994"/>
    <w:rsid w:val="00737106"/>
    <w:rsid w:val="00737755"/>
    <w:rsid w:val="00742DCE"/>
    <w:rsid w:val="00744056"/>
    <w:rsid w:val="00744938"/>
    <w:rsid w:val="00745236"/>
    <w:rsid w:val="007474E6"/>
    <w:rsid w:val="0074787D"/>
    <w:rsid w:val="00751A3D"/>
    <w:rsid w:val="00752B5B"/>
    <w:rsid w:val="00753DFC"/>
    <w:rsid w:val="00754AE3"/>
    <w:rsid w:val="00755099"/>
    <w:rsid w:val="00755443"/>
    <w:rsid w:val="00760730"/>
    <w:rsid w:val="007609C8"/>
    <w:rsid w:val="0076231E"/>
    <w:rsid w:val="00762D5A"/>
    <w:rsid w:val="007632BD"/>
    <w:rsid w:val="00763347"/>
    <w:rsid w:val="007714BD"/>
    <w:rsid w:val="00771AF4"/>
    <w:rsid w:val="007743BA"/>
    <w:rsid w:val="0077544B"/>
    <w:rsid w:val="0077670A"/>
    <w:rsid w:val="00777113"/>
    <w:rsid w:val="0077779F"/>
    <w:rsid w:val="00777D74"/>
    <w:rsid w:val="00777E3F"/>
    <w:rsid w:val="00780CEE"/>
    <w:rsid w:val="00781240"/>
    <w:rsid w:val="00782BBF"/>
    <w:rsid w:val="0078308C"/>
    <w:rsid w:val="0078308F"/>
    <w:rsid w:val="00784528"/>
    <w:rsid w:val="0078453F"/>
    <w:rsid w:val="00784F91"/>
    <w:rsid w:val="0078511C"/>
    <w:rsid w:val="00787DD9"/>
    <w:rsid w:val="00790911"/>
    <w:rsid w:val="0079278E"/>
    <w:rsid w:val="0079675B"/>
    <w:rsid w:val="00796E68"/>
    <w:rsid w:val="007A2DDB"/>
    <w:rsid w:val="007A39D0"/>
    <w:rsid w:val="007A3CCD"/>
    <w:rsid w:val="007A4728"/>
    <w:rsid w:val="007A5854"/>
    <w:rsid w:val="007A6AB3"/>
    <w:rsid w:val="007B1313"/>
    <w:rsid w:val="007B174B"/>
    <w:rsid w:val="007B314B"/>
    <w:rsid w:val="007B338C"/>
    <w:rsid w:val="007B3B40"/>
    <w:rsid w:val="007B3BC5"/>
    <w:rsid w:val="007B45DE"/>
    <w:rsid w:val="007B6206"/>
    <w:rsid w:val="007B78E0"/>
    <w:rsid w:val="007C0A47"/>
    <w:rsid w:val="007C2446"/>
    <w:rsid w:val="007C26CE"/>
    <w:rsid w:val="007C30EE"/>
    <w:rsid w:val="007C3769"/>
    <w:rsid w:val="007C4233"/>
    <w:rsid w:val="007C639F"/>
    <w:rsid w:val="007C661B"/>
    <w:rsid w:val="007C7285"/>
    <w:rsid w:val="007C7975"/>
    <w:rsid w:val="007D0D18"/>
    <w:rsid w:val="007D0EF4"/>
    <w:rsid w:val="007D218D"/>
    <w:rsid w:val="007D32BF"/>
    <w:rsid w:val="007D4AC3"/>
    <w:rsid w:val="007D7745"/>
    <w:rsid w:val="007D7D86"/>
    <w:rsid w:val="007E00A1"/>
    <w:rsid w:val="007E0E80"/>
    <w:rsid w:val="007E13A9"/>
    <w:rsid w:val="007E14D9"/>
    <w:rsid w:val="007E18EE"/>
    <w:rsid w:val="007E3786"/>
    <w:rsid w:val="007E3BC5"/>
    <w:rsid w:val="007E5070"/>
    <w:rsid w:val="007E72DA"/>
    <w:rsid w:val="007E7A16"/>
    <w:rsid w:val="007F12DE"/>
    <w:rsid w:val="007F1C5D"/>
    <w:rsid w:val="007F1D05"/>
    <w:rsid w:val="007F21C2"/>
    <w:rsid w:val="007F2CEB"/>
    <w:rsid w:val="007F3842"/>
    <w:rsid w:val="007F4782"/>
    <w:rsid w:val="007F5009"/>
    <w:rsid w:val="007F5A16"/>
    <w:rsid w:val="007F6557"/>
    <w:rsid w:val="007F7A89"/>
    <w:rsid w:val="00800A74"/>
    <w:rsid w:val="00800A7C"/>
    <w:rsid w:val="00800ED0"/>
    <w:rsid w:val="00802DD5"/>
    <w:rsid w:val="00802DF3"/>
    <w:rsid w:val="00804AEF"/>
    <w:rsid w:val="008065E2"/>
    <w:rsid w:val="00806850"/>
    <w:rsid w:val="00806A3F"/>
    <w:rsid w:val="00807054"/>
    <w:rsid w:val="00807B4F"/>
    <w:rsid w:val="00807B89"/>
    <w:rsid w:val="00807D1A"/>
    <w:rsid w:val="00810F85"/>
    <w:rsid w:val="00811358"/>
    <w:rsid w:val="008121D7"/>
    <w:rsid w:val="00813293"/>
    <w:rsid w:val="00814206"/>
    <w:rsid w:val="008158A5"/>
    <w:rsid w:val="008215C3"/>
    <w:rsid w:val="00821B78"/>
    <w:rsid w:val="00825878"/>
    <w:rsid w:val="008259B7"/>
    <w:rsid w:val="00825D9B"/>
    <w:rsid w:val="00825F21"/>
    <w:rsid w:val="00826337"/>
    <w:rsid w:val="00826810"/>
    <w:rsid w:val="0082731E"/>
    <w:rsid w:val="00835FC5"/>
    <w:rsid w:val="008379EC"/>
    <w:rsid w:val="00840CF4"/>
    <w:rsid w:val="00843E29"/>
    <w:rsid w:val="0084730C"/>
    <w:rsid w:val="008478AE"/>
    <w:rsid w:val="00847B21"/>
    <w:rsid w:val="0085187D"/>
    <w:rsid w:val="00852D44"/>
    <w:rsid w:val="0085472F"/>
    <w:rsid w:val="00860503"/>
    <w:rsid w:val="008608B4"/>
    <w:rsid w:val="0086154C"/>
    <w:rsid w:val="0086330B"/>
    <w:rsid w:val="00864546"/>
    <w:rsid w:val="00864F79"/>
    <w:rsid w:val="0086574C"/>
    <w:rsid w:val="00872529"/>
    <w:rsid w:val="008737F5"/>
    <w:rsid w:val="0087446B"/>
    <w:rsid w:val="00877900"/>
    <w:rsid w:val="00877EDF"/>
    <w:rsid w:val="00880799"/>
    <w:rsid w:val="00880DF0"/>
    <w:rsid w:val="00880E20"/>
    <w:rsid w:val="00881187"/>
    <w:rsid w:val="00881EF7"/>
    <w:rsid w:val="00882DAC"/>
    <w:rsid w:val="00882FBA"/>
    <w:rsid w:val="0088314F"/>
    <w:rsid w:val="00883762"/>
    <w:rsid w:val="00883CDA"/>
    <w:rsid w:val="008842DA"/>
    <w:rsid w:val="00884ED4"/>
    <w:rsid w:val="008856C1"/>
    <w:rsid w:val="008868F8"/>
    <w:rsid w:val="0088690D"/>
    <w:rsid w:val="00886C7A"/>
    <w:rsid w:val="008900E3"/>
    <w:rsid w:val="0089040A"/>
    <w:rsid w:val="0089151C"/>
    <w:rsid w:val="008A3C63"/>
    <w:rsid w:val="008A537E"/>
    <w:rsid w:val="008A6440"/>
    <w:rsid w:val="008A6ABB"/>
    <w:rsid w:val="008B0765"/>
    <w:rsid w:val="008B10B8"/>
    <w:rsid w:val="008B217D"/>
    <w:rsid w:val="008B29D4"/>
    <w:rsid w:val="008B2B4C"/>
    <w:rsid w:val="008B3B63"/>
    <w:rsid w:val="008B3E70"/>
    <w:rsid w:val="008B4F60"/>
    <w:rsid w:val="008B55E9"/>
    <w:rsid w:val="008B5DC3"/>
    <w:rsid w:val="008B6326"/>
    <w:rsid w:val="008B771A"/>
    <w:rsid w:val="008C197C"/>
    <w:rsid w:val="008C335C"/>
    <w:rsid w:val="008C5990"/>
    <w:rsid w:val="008C6760"/>
    <w:rsid w:val="008C6E36"/>
    <w:rsid w:val="008D098C"/>
    <w:rsid w:val="008D2040"/>
    <w:rsid w:val="008D204A"/>
    <w:rsid w:val="008D2477"/>
    <w:rsid w:val="008D2EA6"/>
    <w:rsid w:val="008D5AD7"/>
    <w:rsid w:val="008D68DB"/>
    <w:rsid w:val="008E02A8"/>
    <w:rsid w:val="008E0911"/>
    <w:rsid w:val="008E2AE6"/>
    <w:rsid w:val="008E43B6"/>
    <w:rsid w:val="008E4D5D"/>
    <w:rsid w:val="008E50B1"/>
    <w:rsid w:val="008E7A02"/>
    <w:rsid w:val="008F47C4"/>
    <w:rsid w:val="0090225A"/>
    <w:rsid w:val="00902402"/>
    <w:rsid w:val="0090346B"/>
    <w:rsid w:val="009047EF"/>
    <w:rsid w:val="009048BA"/>
    <w:rsid w:val="009050FC"/>
    <w:rsid w:val="009065F1"/>
    <w:rsid w:val="00906D59"/>
    <w:rsid w:val="00911151"/>
    <w:rsid w:val="009118DB"/>
    <w:rsid w:val="00912494"/>
    <w:rsid w:val="00912E0C"/>
    <w:rsid w:val="00915424"/>
    <w:rsid w:val="00915CE8"/>
    <w:rsid w:val="00916B4B"/>
    <w:rsid w:val="00917C1C"/>
    <w:rsid w:val="0092021B"/>
    <w:rsid w:val="009211DC"/>
    <w:rsid w:val="00922F51"/>
    <w:rsid w:val="0092302A"/>
    <w:rsid w:val="00923125"/>
    <w:rsid w:val="009231C3"/>
    <w:rsid w:val="00924FF5"/>
    <w:rsid w:val="00925F5D"/>
    <w:rsid w:val="009266DA"/>
    <w:rsid w:val="009303F4"/>
    <w:rsid w:val="00930697"/>
    <w:rsid w:val="009311DE"/>
    <w:rsid w:val="00933604"/>
    <w:rsid w:val="00934D15"/>
    <w:rsid w:val="009377C5"/>
    <w:rsid w:val="00941A49"/>
    <w:rsid w:val="00943887"/>
    <w:rsid w:val="00943CA7"/>
    <w:rsid w:val="00943CD4"/>
    <w:rsid w:val="009444D9"/>
    <w:rsid w:val="009467BA"/>
    <w:rsid w:val="009516D8"/>
    <w:rsid w:val="009529A0"/>
    <w:rsid w:val="00955832"/>
    <w:rsid w:val="009575CC"/>
    <w:rsid w:val="00961EFC"/>
    <w:rsid w:val="00962CB1"/>
    <w:rsid w:val="009653F5"/>
    <w:rsid w:val="00966322"/>
    <w:rsid w:val="00967A2D"/>
    <w:rsid w:val="00971841"/>
    <w:rsid w:val="0097338C"/>
    <w:rsid w:val="00973B12"/>
    <w:rsid w:val="00975122"/>
    <w:rsid w:val="0097674C"/>
    <w:rsid w:val="00977BED"/>
    <w:rsid w:val="009818C2"/>
    <w:rsid w:val="00981FA3"/>
    <w:rsid w:val="009831C6"/>
    <w:rsid w:val="00983A26"/>
    <w:rsid w:val="00984D63"/>
    <w:rsid w:val="00985045"/>
    <w:rsid w:val="00985640"/>
    <w:rsid w:val="00985852"/>
    <w:rsid w:val="00985B74"/>
    <w:rsid w:val="0099010D"/>
    <w:rsid w:val="00990157"/>
    <w:rsid w:val="009902A4"/>
    <w:rsid w:val="00990A9F"/>
    <w:rsid w:val="00992E1E"/>
    <w:rsid w:val="0099500B"/>
    <w:rsid w:val="00995039"/>
    <w:rsid w:val="00996693"/>
    <w:rsid w:val="00996717"/>
    <w:rsid w:val="009974D0"/>
    <w:rsid w:val="00997EFE"/>
    <w:rsid w:val="009A1877"/>
    <w:rsid w:val="009A247B"/>
    <w:rsid w:val="009A2755"/>
    <w:rsid w:val="009A3808"/>
    <w:rsid w:val="009A5183"/>
    <w:rsid w:val="009A54F7"/>
    <w:rsid w:val="009A7195"/>
    <w:rsid w:val="009A773E"/>
    <w:rsid w:val="009B0128"/>
    <w:rsid w:val="009B0D39"/>
    <w:rsid w:val="009B16C6"/>
    <w:rsid w:val="009B2722"/>
    <w:rsid w:val="009B27C2"/>
    <w:rsid w:val="009B4172"/>
    <w:rsid w:val="009B5DCF"/>
    <w:rsid w:val="009B7097"/>
    <w:rsid w:val="009C1434"/>
    <w:rsid w:val="009C16BD"/>
    <w:rsid w:val="009C24AF"/>
    <w:rsid w:val="009C27D3"/>
    <w:rsid w:val="009D0E00"/>
    <w:rsid w:val="009D0E5E"/>
    <w:rsid w:val="009D29EB"/>
    <w:rsid w:val="009D3E91"/>
    <w:rsid w:val="009D50D9"/>
    <w:rsid w:val="009D64F7"/>
    <w:rsid w:val="009D7C8B"/>
    <w:rsid w:val="009E07BE"/>
    <w:rsid w:val="009E1076"/>
    <w:rsid w:val="009E5740"/>
    <w:rsid w:val="009E58EA"/>
    <w:rsid w:val="009E64E6"/>
    <w:rsid w:val="009E764C"/>
    <w:rsid w:val="009F2CB3"/>
    <w:rsid w:val="009F47F7"/>
    <w:rsid w:val="009F574F"/>
    <w:rsid w:val="009F78ED"/>
    <w:rsid w:val="00A013E1"/>
    <w:rsid w:val="00A03BFC"/>
    <w:rsid w:val="00A06D00"/>
    <w:rsid w:val="00A146ED"/>
    <w:rsid w:val="00A169F5"/>
    <w:rsid w:val="00A17283"/>
    <w:rsid w:val="00A172BB"/>
    <w:rsid w:val="00A20385"/>
    <w:rsid w:val="00A23183"/>
    <w:rsid w:val="00A24398"/>
    <w:rsid w:val="00A2499F"/>
    <w:rsid w:val="00A24CC8"/>
    <w:rsid w:val="00A24D4A"/>
    <w:rsid w:val="00A2640A"/>
    <w:rsid w:val="00A26840"/>
    <w:rsid w:val="00A27BD1"/>
    <w:rsid w:val="00A30DCC"/>
    <w:rsid w:val="00A315D7"/>
    <w:rsid w:val="00A322B9"/>
    <w:rsid w:val="00A32A72"/>
    <w:rsid w:val="00A333C5"/>
    <w:rsid w:val="00A334F6"/>
    <w:rsid w:val="00A34179"/>
    <w:rsid w:val="00A36053"/>
    <w:rsid w:val="00A41E89"/>
    <w:rsid w:val="00A44417"/>
    <w:rsid w:val="00A45303"/>
    <w:rsid w:val="00A4555E"/>
    <w:rsid w:val="00A45CAF"/>
    <w:rsid w:val="00A46B0C"/>
    <w:rsid w:val="00A470DB"/>
    <w:rsid w:val="00A475D6"/>
    <w:rsid w:val="00A47EF9"/>
    <w:rsid w:val="00A508CE"/>
    <w:rsid w:val="00A52883"/>
    <w:rsid w:val="00A54983"/>
    <w:rsid w:val="00A57161"/>
    <w:rsid w:val="00A60F5F"/>
    <w:rsid w:val="00A63525"/>
    <w:rsid w:val="00A65531"/>
    <w:rsid w:val="00A67178"/>
    <w:rsid w:val="00A677BF"/>
    <w:rsid w:val="00A705F9"/>
    <w:rsid w:val="00A71BDB"/>
    <w:rsid w:val="00A73792"/>
    <w:rsid w:val="00A74EBC"/>
    <w:rsid w:val="00A7630F"/>
    <w:rsid w:val="00A80AE3"/>
    <w:rsid w:val="00A81A07"/>
    <w:rsid w:val="00A84B3D"/>
    <w:rsid w:val="00A85D6D"/>
    <w:rsid w:val="00A85E92"/>
    <w:rsid w:val="00A86889"/>
    <w:rsid w:val="00A877F1"/>
    <w:rsid w:val="00A878A6"/>
    <w:rsid w:val="00A90800"/>
    <w:rsid w:val="00A92676"/>
    <w:rsid w:val="00A92E0A"/>
    <w:rsid w:val="00A933C6"/>
    <w:rsid w:val="00A94B36"/>
    <w:rsid w:val="00A959BD"/>
    <w:rsid w:val="00A95DD8"/>
    <w:rsid w:val="00A96870"/>
    <w:rsid w:val="00A9693D"/>
    <w:rsid w:val="00A96AE0"/>
    <w:rsid w:val="00A96BDC"/>
    <w:rsid w:val="00A979CF"/>
    <w:rsid w:val="00AA0702"/>
    <w:rsid w:val="00AA0AFF"/>
    <w:rsid w:val="00AA0C2F"/>
    <w:rsid w:val="00AA22D1"/>
    <w:rsid w:val="00AA2A7D"/>
    <w:rsid w:val="00AA3E80"/>
    <w:rsid w:val="00AA51B0"/>
    <w:rsid w:val="00AA5733"/>
    <w:rsid w:val="00AA6DC6"/>
    <w:rsid w:val="00AA70E3"/>
    <w:rsid w:val="00AB316B"/>
    <w:rsid w:val="00AB31EF"/>
    <w:rsid w:val="00AB409F"/>
    <w:rsid w:val="00AB44C3"/>
    <w:rsid w:val="00AB5B06"/>
    <w:rsid w:val="00AC3E61"/>
    <w:rsid w:val="00AC47DE"/>
    <w:rsid w:val="00AC4A1A"/>
    <w:rsid w:val="00AC5163"/>
    <w:rsid w:val="00AC535F"/>
    <w:rsid w:val="00AC5CD3"/>
    <w:rsid w:val="00AC69C7"/>
    <w:rsid w:val="00AC6CE3"/>
    <w:rsid w:val="00AC75BF"/>
    <w:rsid w:val="00AD1348"/>
    <w:rsid w:val="00AD32F4"/>
    <w:rsid w:val="00AD3F98"/>
    <w:rsid w:val="00AD4C8C"/>
    <w:rsid w:val="00AD4F67"/>
    <w:rsid w:val="00AD5FFC"/>
    <w:rsid w:val="00AD655A"/>
    <w:rsid w:val="00AD6881"/>
    <w:rsid w:val="00AD759C"/>
    <w:rsid w:val="00AE40EC"/>
    <w:rsid w:val="00AE487B"/>
    <w:rsid w:val="00AE591E"/>
    <w:rsid w:val="00AF0681"/>
    <w:rsid w:val="00AF0AD5"/>
    <w:rsid w:val="00AF126A"/>
    <w:rsid w:val="00AF2FE3"/>
    <w:rsid w:val="00AF39DF"/>
    <w:rsid w:val="00AF5FCE"/>
    <w:rsid w:val="00AF6E09"/>
    <w:rsid w:val="00AF7ADE"/>
    <w:rsid w:val="00B01926"/>
    <w:rsid w:val="00B01C0D"/>
    <w:rsid w:val="00B02866"/>
    <w:rsid w:val="00B02B55"/>
    <w:rsid w:val="00B03DCA"/>
    <w:rsid w:val="00B049ED"/>
    <w:rsid w:val="00B055B5"/>
    <w:rsid w:val="00B058F3"/>
    <w:rsid w:val="00B072ED"/>
    <w:rsid w:val="00B07BAF"/>
    <w:rsid w:val="00B102F2"/>
    <w:rsid w:val="00B110D9"/>
    <w:rsid w:val="00B1299B"/>
    <w:rsid w:val="00B138C1"/>
    <w:rsid w:val="00B140E1"/>
    <w:rsid w:val="00B14475"/>
    <w:rsid w:val="00B157DD"/>
    <w:rsid w:val="00B16095"/>
    <w:rsid w:val="00B17282"/>
    <w:rsid w:val="00B17C32"/>
    <w:rsid w:val="00B205BC"/>
    <w:rsid w:val="00B24F7C"/>
    <w:rsid w:val="00B24FBE"/>
    <w:rsid w:val="00B2503D"/>
    <w:rsid w:val="00B25AA5"/>
    <w:rsid w:val="00B266BE"/>
    <w:rsid w:val="00B27269"/>
    <w:rsid w:val="00B2798D"/>
    <w:rsid w:val="00B27A62"/>
    <w:rsid w:val="00B307F4"/>
    <w:rsid w:val="00B30AC8"/>
    <w:rsid w:val="00B31EFB"/>
    <w:rsid w:val="00B33FA0"/>
    <w:rsid w:val="00B34377"/>
    <w:rsid w:val="00B34583"/>
    <w:rsid w:val="00B3780E"/>
    <w:rsid w:val="00B37F02"/>
    <w:rsid w:val="00B41A01"/>
    <w:rsid w:val="00B42CE6"/>
    <w:rsid w:val="00B44740"/>
    <w:rsid w:val="00B46C73"/>
    <w:rsid w:val="00B47332"/>
    <w:rsid w:val="00B474E8"/>
    <w:rsid w:val="00B478D2"/>
    <w:rsid w:val="00B511D3"/>
    <w:rsid w:val="00B51372"/>
    <w:rsid w:val="00B52A00"/>
    <w:rsid w:val="00B52D63"/>
    <w:rsid w:val="00B53B37"/>
    <w:rsid w:val="00B55813"/>
    <w:rsid w:val="00B55FED"/>
    <w:rsid w:val="00B61BB1"/>
    <w:rsid w:val="00B62933"/>
    <w:rsid w:val="00B62D05"/>
    <w:rsid w:val="00B63D9F"/>
    <w:rsid w:val="00B63DC4"/>
    <w:rsid w:val="00B6415C"/>
    <w:rsid w:val="00B6481E"/>
    <w:rsid w:val="00B65129"/>
    <w:rsid w:val="00B6578A"/>
    <w:rsid w:val="00B65904"/>
    <w:rsid w:val="00B675C4"/>
    <w:rsid w:val="00B715E7"/>
    <w:rsid w:val="00B7326C"/>
    <w:rsid w:val="00B74551"/>
    <w:rsid w:val="00B75994"/>
    <w:rsid w:val="00B75D53"/>
    <w:rsid w:val="00B76018"/>
    <w:rsid w:val="00B761A8"/>
    <w:rsid w:val="00B76814"/>
    <w:rsid w:val="00B778D1"/>
    <w:rsid w:val="00B801AB"/>
    <w:rsid w:val="00B80AE5"/>
    <w:rsid w:val="00B8401D"/>
    <w:rsid w:val="00B841F2"/>
    <w:rsid w:val="00B84782"/>
    <w:rsid w:val="00B84BD7"/>
    <w:rsid w:val="00B84D04"/>
    <w:rsid w:val="00B853D8"/>
    <w:rsid w:val="00B85AE6"/>
    <w:rsid w:val="00B85D55"/>
    <w:rsid w:val="00B86720"/>
    <w:rsid w:val="00B87F7D"/>
    <w:rsid w:val="00B903A6"/>
    <w:rsid w:val="00B90D40"/>
    <w:rsid w:val="00B91326"/>
    <w:rsid w:val="00B93F60"/>
    <w:rsid w:val="00B95AD4"/>
    <w:rsid w:val="00BA0AA5"/>
    <w:rsid w:val="00BA363C"/>
    <w:rsid w:val="00BA3AE7"/>
    <w:rsid w:val="00BA4CA3"/>
    <w:rsid w:val="00BA5BFF"/>
    <w:rsid w:val="00BA5E1F"/>
    <w:rsid w:val="00BB15EB"/>
    <w:rsid w:val="00BB1C9E"/>
    <w:rsid w:val="00BB1E16"/>
    <w:rsid w:val="00BB1F1B"/>
    <w:rsid w:val="00BB23C1"/>
    <w:rsid w:val="00BB3582"/>
    <w:rsid w:val="00BB4550"/>
    <w:rsid w:val="00BB4D0D"/>
    <w:rsid w:val="00BB4F5C"/>
    <w:rsid w:val="00BB6561"/>
    <w:rsid w:val="00BB7F49"/>
    <w:rsid w:val="00BC578A"/>
    <w:rsid w:val="00BC6C56"/>
    <w:rsid w:val="00BD1037"/>
    <w:rsid w:val="00BD2EED"/>
    <w:rsid w:val="00BD3A1C"/>
    <w:rsid w:val="00BD3CDD"/>
    <w:rsid w:val="00BD4578"/>
    <w:rsid w:val="00BD55EC"/>
    <w:rsid w:val="00BD5E1E"/>
    <w:rsid w:val="00BD69F9"/>
    <w:rsid w:val="00BD7804"/>
    <w:rsid w:val="00BE0F06"/>
    <w:rsid w:val="00BE235C"/>
    <w:rsid w:val="00BE3716"/>
    <w:rsid w:val="00BE49A2"/>
    <w:rsid w:val="00BE538D"/>
    <w:rsid w:val="00BE5947"/>
    <w:rsid w:val="00BE6F10"/>
    <w:rsid w:val="00BF054D"/>
    <w:rsid w:val="00BF0E66"/>
    <w:rsid w:val="00BF1180"/>
    <w:rsid w:val="00BF4C2E"/>
    <w:rsid w:val="00BF7482"/>
    <w:rsid w:val="00BF7581"/>
    <w:rsid w:val="00C014E7"/>
    <w:rsid w:val="00C016F6"/>
    <w:rsid w:val="00C01922"/>
    <w:rsid w:val="00C04179"/>
    <w:rsid w:val="00C04A6B"/>
    <w:rsid w:val="00C05088"/>
    <w:rsid w:val="00C06754"/>
    <w:rsid w:val="00C10057"/>
    <w:rsid w:val="00C10811"/>
    <w:rsid w:val="00C1139C"/>
    <w:rsid w:val="00C11AA8"/>
    <w:rsid w:val="00C1276C"/>
    <w:rsid w:val="00C2003B"/>
    <w:rsid w:val="00C21539"/>
    <w:rsid w:val="00C22C1E"/>
    <w:rsid w:val="00C22E09"/>
    <w:rsid w:val="00C2375C"/>
    <w:rsid w:val="00C259B6"/>
    <w:rsid w:val="00C25C1C"/>
    <w:rsid w:val="00C274AB"/>
    <w:rsid w:val="00C3219B"/>
    <w:rsid w:val="00C323FF"/>
    <w:rsid w:val="00C33959"/>
    <w:rsid w:val="00C3740C"/>
    <w:rsid w:val="00C411E7"/>
    <w:rsid w:val="00C4129A"/>
    <w:rsid w:val="00C41560"/>
    <w:rsid w:val="00C42061"/>
    <w:rsid w:val="00C42A68"/>
    <w:rsid w:val="00C43AE6"/>
    <w:rsid w:val="00C44E9B"/>
    <w:rsid w:val="00C45BF6"/>
    <w:rsid w:val="00C45C9C"/>
    <w:rsid w:val="00C4703E"/>
    <w:rsid w:val="00C47A82"/>
    <w:rsid w:val="00C5174C"/>
    <w:rsid w:val="00C51835"/>
    <w:rsid w:val="00C54924"/>
    <w:rsid w:val="00C55E2C"/>
    <w:rsid w:val="00C56B85"/>
    <w:rsid w:val="00C60849"/>
    <w:rsid w:val="00C6135C"/>
    <w:rsid w:val="00C63A60"/>
    <w:rsid w:val="00C6407D"/>
    <w:rsid w:val="00C656C3"/>
    <w:rsid w:val="00C7000A"/>
    <w:rsid w:val="00C71943"/>
    <w:rsid w:val="00C725A9"/>
    <w:rsid w:val="00C72743"/>
    <w:rsid w:val="00C73E91"/>
    <w:rsid w:val="00C75098"/>
    <w:rsid w:val="00C76953"/>
    <w:rsid w:val="00C82853"/>
    <w:rsid w:val="00C843C1"/>
    <w:rsid w:val="00C84639"/>
    <w:rsid w:val="00C84B20"/>
    <w:rsid w:val="00C85B7D"/>
    <w:rsid w:val="00C8604E"/>
    <w:rsid w:val="00C87F91"/>
    <w:rsid w:val="00C90438"/>
    <w:rsid w:val="00C9110B"/>
    <w:rsid w:val="00C92892"/>
    <w:rsid w:val="00C9322A"/>
    <w:rsid w:val="00C939C1"/>
    <w:rsid w:val="00C9450A"/>
    <w:rsid w:val="00C94676"/>
    <w:rsid w:val="00C95582"/>
    <w:rsid w:val="00CA0895"/>
    <w:rsid w:val="00CA10CF"/>
    <w:rsid w:val="00CA1F7F"/>
    <w:rsid w:val="00CA6DAB"/>
    <w:rsid w:val="00CA70B4"/>
    <w:rsid w:val="00CB040E"/>
    <w:rsid w:val="00CB07FA"/>
    <w:rsid w:val="00CB0A6A"/>
    <w:rsid w:val="00CB0D32"/>
    <w:rsid w:val="00CB187C"/>
    <w:rsid w:val="00CB1B2B"/>
    <w:rsid w:val="00CB39D9"/>
    <w:rsid w:val="00CB450C"/>
    <w:rsid w:val="00CB7E9A"/>
    <w:rsid w:val="00CC0283"/>
    <w:rsid w:val="00CC1A24"/>
    <w:rsid w:val="00CC2676"/>
    <w:rsid w:val="00CC2AA3"/>
    <w:rsid w:val="00CC2B6E"/>
    <w:rsid w:val="00CC364C"/>
    <w:rsid w:val="00CC4BC2"/>
    <w:rsid w:val="00CC698B"/>
    <w:rsid w:val="00CC6D6D"/>
    <w:rsid w:val="00CD06A0"/>
    <w:rsid w:val="00CD1B35"/>
    <w:rsid w:val="00CD2485"/>
    <w:rsid w:val="00CD3AEE"/>
    <w:rsid w:val="00CD4BDD"/>
    <w:rsid w:val="00CD4F97"/>
    <w:rsid w:val="00CD5378"/>
    <w:rsid w:val="00CD604C"/>
    <w:rsid w:val="00CD6F68"/>
    <w:rsid w:val="00CE0B3C"/>
    <w:rsid w:val="00CE2510"/>
    <w:rsid w:val="00CE3340"/>
    <w:rsid w:val="00CE36E7"/>
    <w:rsid w:val="00CE3D4D"/>
    <w:rsid w:val="00CE457B"/>
    <w:rsid w:val="00CE5DAC"/>
    <w:rsid w:val="00CE71DF"/>
    <w:rsid w:val="00CE7A68"/>
    <w:rsid w:val="00CF1E50"/>
    <w:rsid w:val="00CF24FB"/>
    <w:rsid w:val="00CF4CC2"/>
    <w:rsid w:val="00CF6B60"/>
    <w:rsid w:val="00CF76EE"/>
    <w:rsid w:val="00D0022E"/>
    <w:rsid w:val="00D00D9D"/>
    <w:rsid w:val="00D01EC4"/>
    <w:rsid w:val="00D02264"/>
    <w:rsid w:val="00D02682"/>
    <w:rsid w:val="00D02EE9"/>
    <w:rsid w:val="00D04887"/>
    <w:rsid w:val="00D05B15"/>
    <w:rsid w:val="00D06C99"/>
    <w:rsid w:val="00D1127E"/>
    <w:rsid w:val="00D11E8D"/>
    <w:rsid w:val="00D13FC6"/>
    <w:rsid w:val="00D144E3"/>
    <w:rsid w:val="00D15C42"/>
    <w:rsid w:val="00D168B0"/>
    <w:rsid w:val="00D16F1D"/>
    <w:rsid w:val="00D213B7"/>
    <w:rsid w:val="00D22AF3"/>
    <w:rsid w:val="00D240C1"/>
    <w:rsid w:val="00D240DB"/>
    <w:rsid w:val="00D251F2"/>
    <w:rsid w:val="00D25967"/>
    <w:rsid w:val="00D26FAF"/>
    <w:rsid w:val="00D27CB9"/>
    <w:rsid w:val="00D30667"/>
    <w:rsid w:val="00D31183"/>
    <w:rsid w:val="00D31962"/>
    <w:rsid w:val="00D3287E"/>
    <w:rsid w:val="00D33B21"/>
    <w:rsid w:val="00D34A00"/>
    <w:rsid w:val="00D36B2B"/>
    <w:rsid w:val="00D36F72"/>
    <w:rsid w:val="00D3721C"/>
    <w:rsid w:val="00D37BCB"/>
    <w:rsid w:val="00D40D4B"/>
    <w:rsid w:val="00D40F39"/>
    <w:rsid w:val="00D446DF"/>
    <w:rsid w:val="00D447B0"/>
    <w:rsid w:val="00D46A28"/>
    <w:rsid w:val="00D47FBF"/>
    <w:rsid w:val="00D50029"/>
    <w:rsid w:val="00D513AB"/>
    <w:rsid w:val="00D534B1"/>
    <w:rsid w:val="00D541E8"/>
    <w:rsid w:val="00D54C48"/>
    <w:rsid w:val="00D559E6"/>
    <w:rsid w:val="00D56E66"/>
    <w:rsid w:val="00D57208"/>
    <w:rsid w:val="00D577AA"/>
    <w:rsid w:val="00D57AB1"/>
    <w:rsid w:val="00D57DF3"/>
    <w:rsid w:val="00D57F65"/>
    <w:rsid w:val="00D601A9"/>
    <w:rsid w:val="00D602E8"/>
    <w:rsid w:val="00D656CB"/>
    <w:rsid w:val="00D66172"/>
    <w:rsid w:val="00D6658B"/>
    <w:rsid w:val="00D70C4A"/>
    <w:rsid w:val="00D71E63"/>
    <w:rsid w:val="00D80AE9"/>
    <w:rsid w:val="00D80B77"/>
    <w:rsid w:val="00D81061"/>
    <w:rsid w:val="00D81660"/>
    <w:rsid w:val="00D81866"/>
    <w:rsid w:val="00D8268D"/>
    <w:rsid w:val="00D835E1"/>
    <w:rsid w:val="00D84C05"/>
    <w:rsid w:val="00D84C94"/>
    <w:rsid w:val="00D84F35"/>
    <w:rsid w:val="00D850AB"/>
    <w:rsid w:val="00D86BF0"/>
    <w:rsid w:val="00D872CB"/>
    <w:rsid w:val="00D87406"/>
    <w:rsid w:val="00D87DC1"/>
    <w:rsid w:val="00D90190"/>
    <w:rsid w:val="00D93C83"/>
    <w:rsid w:val="00D95186"/>
    <w:rsid w:val="00D95924"/>
    <w:rsid w:val="00D960E3"/>
    <w:rsid w:val="00DA01D8"/>
    <w:rsid w:val="00DA070E"/>
    <w:rsid w:val="00DA277E"/>
    <w:rsid w:val="00DA2C0B"/>
    <w:rsid w:val="00DA3BD9"/>
    <w:rsid w:val="00DA3CE5"/>
    <w:rsid w:val="00DA4279"/>
    <w:rsid w:val="00DA4977"/>
    <w:rsid w:val="00DA5162"/>
    <w:rsid w:val="00DB2E03"/>
    <w:rsid w:val="00DB3C84"/>
    <w:rsid w:val="00DB5322"/>
    <w:rsid w:val="00DB630B"/>
    <w:rsid w:val="00DB6C55"/>
    <w:rsid w:val="00DB73B4"/>
    <w:rsid w:val="00DB7F65"/>
    <w:rsid w:val="00DC2431"/>
    <w:rsid w:val="00DC263E"/>
    <w:rsid w:val="00DC3899"/>
    <w:rsid w:val="00DC3BC8"/>
    <w:rsid w:val="00DC4DA6"/>
    <w:rsid w:val="00DC51E3"/>
    <w:rsid w:val="00DC6428"/>
    <w:rsid w:val="00DD0FB0"/>
    <w:rsid w:val="00DD100F"/>
    <w:rsid w:val="00DD1B3F"/>
    <w:rsid w:val="00DD5923"/>
    <w:rsid w:val="00DD599F"/>
    <w:rsid w:val="00DD6427"/>
    <w:rsid w:val="00DD77B1"/>
    <w:rsid w:val="00DE3E4A"/>
    <w:rsid w:val="00DE4BB3"/>
    <w:rsid w:val="00DE6ABB"/>
    <w:rsid w:val="00DE75E2"/>
    <w:rsid w:val="00DF19B1"/>
    <w:rsid w:val="00DF25C9"/>
    <w:rsid w:val="00DF37D6"/>
    <w:rsid w:val="00DF3A11"/>
    <w:rsid w:val="00DF4120"/>
    <w:rsid w:val="00DF56CB"/>
    <w:rsid w:val="00E01030"/>
    <w:rsid w:val="00E02351"/>
    <w:rsid w:val="00E03A42"/>
    <w:rsid w:val="00E10836"/>
    <w:rsid w:val="00E108C6"/>
    <w:rsid w:val="00E11343"/>
    <w:rsid w:val="00E115E5"/>
    <w:rsid w:val="00E116A3"/>
    <w:rsid w:val="00E12333"/>
    <w:rsid w:val="00E13412"/>
    <w:rsid w:val="00E149DD"/>
    <w:rsid w:val="00E15796"/>
    <w:rsid w:val="00E16719"/>
    <w:rsid w:val="00E20EC3"/>
    <w:rsid w:val="00E217B8"/>
    <w:rsid w:val="00E21ACA"/>
    <w:rsid w:val="00E21C13"/>
    <w:rsid w:val="00E23336"/>
    <w:rsid w:val="00E3272D"/>
    <w:rsid w:val="00E333BA"/>
    <w:rsid w:val="00E3345A"/>
    <w:rsid w:val="00E335BB"/>
    <w:rsid w:val="00E33B1C"/>
    <w:rsid w:val="00E34121"/>
    <w:rsid w:val="00E34395"/>
    <w:rsid w:val="00E35818"/>
    <w:rsid w:val="00E36930"/>
    <w:rsid w:val="00E4179F"/>
    <w:rsid w:val="00E41E96"/>
    <w:rsid w:val="00E42B60"/>
    <w:rsid w:val="00E42B88"/>
    <w:rsid w:val="00E42D1B"/>
    <w:rsid w:val="00E432E5"/>
    <w:rsid w:val="00E43723"/>
    <w:rsid w:val="00E44C3B"/>
    <w:rsid w:val="00E44E3D"/>
    <w:rsid w:val="00E45F0E"/>
    <w:rsid w:val="00E46A8F"/>
    <w:rsid w:val="00E46FD4"/>
    <w:rsid w:val="00E51F1E"/>
    <w:rsid w:val="00E577A9"/>
    <w:rsid w:val="00E6122C"/>
    <w:rsid w:val="00E615A1"/>
    <w:rsid w:val="00E65ACA"/>
    <w:rsid w:val="00E6736D"/>
    <w:rsid w:val="00E6771C"/>
    <w:rsid w:val="00E677A4"/>
    <w:rsid w:val="00E67EA7"/>
    <w:rsid w:val="00E67ECB"/>
    <w:rsid w:val="00E72B74"/>
    <w:rsid w:val="00E73497"/>
    <w:rsid w:val="00E7456B"/>
    <w:rsid w:val="00E746C1"/>
    <w:rsid w:val="00E750DB"/>
    <w:rsid w:val="00E7554A"/>
    <w:rsid w:val="00E763BE"/>
    <w:rsid w:val="00E76580"/>
    <w:rsid w:val="00E76607"/>
    <w:rsid w:val="00E778A1"/>
    <w:rsid w:val="00E80E85"/>
    <w:rsid w:val="00E813AF"/>
    <w:rsid w:val="00E81FF6"/>
    <w:rsid w:val="00E85E11"/>
    <w:rsid w:val="00E870DD"/>
    <w:rsid w:val="00E9054A"/>
    <w:rsid w:val="00E91E57"/>
    <w:rsid w:val="00E95335"/>
    <w:rsid w:val="00EA0460"/>
    <w:rsid w:val="00EA0C1C"/>
    <w:rsid w:val="00EA3D7F"/>
    <w:rsid w:val="00EA51C0"/>
    <w:rsid w:val="00EA5FBF"/>
    <w:rsid w:val="00EA6800"/>
    <w:rsid w:val="00EA7329"/>
    <w:rsid w:val="00EB46E9"/>
    <w:rsid w:val="00EB5CD6"/>
    <w:rsid w:val="00EB61B0"/>
    <w:rsid w:val="00EC2F7C"/>
    <w:rsid w:val="00EC3D48"/>
    <w:rsid w:val="00EC5CD7"/>
    <w:rsid w:val="00EC6205"/>
    <w:rsid w:val="00EC65F0"/>
    <w:rsid w:val="00EC70EF"/>
    <w:rsid w:val="00ED128A"/>
    <w:rsid w:val="00ED153D"/>
    <w:rsid w:val="00ED17CE"/>
    <w:rsid w:val="00ED487B"/>
    <w:rsid w:val="00ED58F5"/>
    <w:rsid w:val="00ED6F32"/>
    <w:rsid w:val="00EE2A66"/>
    <w:rsid w:val="00EE4337"/>
    <w:rsid w:val="00EE57B2"/>
    <w:rsid w:val="00EE5F35"/>
    <w:rsid w:val="00EE6255"/>
    <w:rsid w:val="00EE6405"/>
    <w:rsid w:val="00EE6484"/>
    <w:rsid w:val="00EE74CA"/>
    <w:rsid w:val="00EF13BA"/>
    <w:rsid w:val="00EF467E"/>
    <w:rsid w:val="00F01AC0"/>
    <w:rsid w:val="00F0238C"/>
    <w:rsid w:val="00F04BF2"/>
    <w:rsid w:val="00F04E01"/>
    <w:rsid w:val="00F05721"/>
    <w:rsid w:val="00F06087"/>
    <w:rsid w:val="00F067EF"/>
    <w:rsid w:val="00F078CA"/>
    <w:rsid w:val="00F116F2"/>
    <w:rsid w:val="00F12DEE"/>
    <w:rsid w:val="00F13367"/>
    <w:rsid w:val="00F135CB"/>
    <w:rsid w:val="00F136A6"/>
    <w:rsid w:val="00F14B99"/>
    <w:rsid w:val="00F1596F"/>
    <w:rsid w:val="00F17A79"/>
    <w:rsid w:val="00F21AEA"/>
    <w:rsid w:val="00F21D4F"/>
    <w:rsid w:val="00F21F09"/>
    <w:rsid w:val="00F22D3B"/>
    <w:rsid w:val="00F268D4"/>
    <w:rsid w:val="00F2699B"/>
    <w:rsid w:val="00F269C2"/>
    <w:rsid w:val="00F30393"/>
    <w:rsid w:val="00F31176"/>
    <w:rsid w:val="00F34792"/>
    <w:rsid w:val="00F35A1F"/>
    <w:rsid w:val="00F35B9D"/>
    <w:rsid w:val="00F36600"/>
    <w:rsid w:val="00F36EA0"/>
    <w:rsid w:val="00F37868"/>
    <w:rsid w:val="00F40978"/>
    <w:rsid w:val="00F42346"/>
    <w:rsid w:val="00F426C3"/>
    <w:rsid w:val="00F42876"/>
    <w:rsid w:val="00F42E18"/>
    <w:rsid w:val="00F444FD"/>
    <w:rsid w:val="00F44567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4BD8"/>
    <w:rsid w:val="00F5509B"/>
    <w:rsid w:val="00F55A2F"/>
    <w:rsid w:val="00F55D76"/>
    <w:rsid w:val="00F57830"/>
    <w:rsid w:val="00F57D67"/>
    <w:rsid w:val="00F608D8"/>
    <w:rsid w:val="00F61882"/>
    <w:rsid w:val="00F619D6"/>
    <w:rsid w:val="00F632C4"/>
    <w:rsid w:val="00F653FF"/>
    <w:rsid w:val="00F66EB5"/>
    <w:rsid w:val="00F6734B"/>
    <w:rsid w:val="00F712F6"/>
    <w:rsid w:val="00F718FB"/>
    <w:rsid w:val="00F72993"/>
    <w:rsid w:val="00F73B58"/>
    <w:rsid w:val="00F74172"/>
    <w:rsid w:val="00F74693"/>
    <w:rsid w:val="00F762AA"/>
    <w:rsid w:val="00F763A6"/>
    <w:rsid w:val="00F8033E"/>
    <w:rsid w:val="00F81C4A"/>
    <w:rsid w:val="00F8315C"/>
    <w:rsid w:val="00F83357"/>
    <w:rsid w:val="00F83505"/>
    <w:rsid w:val="00F852D0"/>
    <w:rsid w:val="00F87167"/>
    <w:rsid w:val="00F902C8"/>
    <w:rsid w:val="00F9053D"/>
    <w:rsid w:val="00F90780"/>
    <w:rsid w:val="00F908F8"/>
    <w:rsid w:val="00F90BA8"/>
    <w:rsid w:val="00F91828"/>
    <w:rsid w:val="00F96916"/>
    <w:rsid w:val="00F96E5A"/>
    <w:rsid w:val="00F971F9"/>
    <w:rsid w:val="00F97D41"/>
    <w:rsid w:val="00FA0242"/>
    <w:rsid w:val="00FA02EF"/>
    <w:rsid w:val="00FA0665"/>
    <w:rsid w:val="00FA1F15"/>
    <w:rsid w:val="00FA314D"/>
    <w:rsid w:val="00FA32E2"/>
    <w:rsid w:val="00FA51CE"/>
    <w:rsid w:val="00FA6355"/>
    <w:rsid w:val="00FA6451"/>
    <w:rsid w:val="00FA7598"/>
    <w:rsid w:val="00FA7EB2"/>
    <w:rsid w:val="00FB03E1"/>
    <w:rsid w:val="00FB1515"/>
    <w:rsid w:val="00FB2367"/>
    <w:rsid w:val="00FB2A8C"/>
    <w:rsid w:val="00FB2BC1"/>
    <w:rsid w:val="00FB3D77"/>
    <w:rsid w:val="00FB6F8F"/>
    <w:rsid w:val="00FC0C52"/>
    <w:rsid w:val="00FC1281"/>
    <w:rsid w:val="00FC2095"/>
    <w:rsid w:val="00FC6105"/>
    <w:rsid w:val="00FC6CF7"/>
    <w:rsid w:val="00FD0096"/>
    <w:rsid w:val="00FD1B37"/>
    <w:rsid w:val="00FD2AE9"/>
    <w:rsid w:val="00FE034E"/>
    <w:rsid w:val="00FE1F75"/>
    <w:rsid w:val="00FE4F08"/>
    <w:rsid w:val="00FE6B0C"/>
    <w:rsid w:val="00FE7396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923"/>
    <w:rPr>
      <w:rFonts w:ascii="Times New Roman" w:eastAsia="Times New Roman" w:hAnsi="Times New Roman" w:cs="Miriam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ListParagraph">
    <w:name w:val="List Paragraph"/>
    <w:basedOn w:val="Normal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9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699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7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9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FootnoteText">
    <w:name w:val="footnote text"/>
    <w:basedOn w:val="Normal"/>
    <w:link w:val="FootnoteTextChar"/>
    <w:semiHidden/>
    <w:unhideWhenUsed/>
    <w:rsid w:val="0031794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FootnoteReference">
    <w:name w:val="footnote reference"/>
    <w:basedOn w:val="DefaultParagraphFont"/>
    <w:semiHidden/>
    <w:unhideWhenUsed/>
    <w:rsid w:val="0031794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0AE3"/>
    <w:pPr>
      <w:bidi/>
    </w:pPr>
    <w:rPr>
      <w:rFonts w:ascii="Calibri" w:eastAsia="Calibri" w:hAnsi="Calibri" w:cs="Arial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0AE3"/>
    <w:rPr>
      <w:rFonts w:ascii="Calibri" w:hAnsi="Calibri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Heading1Char">
    <w:name w:val="Heading 1 Char"/>
    <w:basedOn w:val="DefaultParagraphFont"/>
    <w:link w:val="Heading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boi.org.il/%D7%94%D7%AA%D7%A4%D7%A7%D7%99%D7%93%D7%99%D7%9D-%D7%94%D7%9B%D7%9C%D7%9B%D7%9C%D7%99%D7%99%D7%9D/%D7%A1%D7%98%D7%98%D7%99%D7%A1%D7%98%D7%99%D7%A7%D7%94/%D7%91%D7%A0%D7%A7%D7%99%D7%9D/%D7%90%D7%A9%D7%A8%D7%90%D7%99-%D7%9C%D7%93%D7%99%D7%95%D7%A8/%D7%91%D7%99%D7%A6%D7%95%D7%A2%D7%99%D7%9D-%D7%95%D7%A8%D7%99%D7%91%D7%99%D7%95%D7%A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A6%D7%A8%D7%A4%D7%99%D7%9D-%D7%94%D7%A0%D7%9B%D7%A1%D7%99%D7%9D-%D7%95%D7%94%D7%90%D7%A9%D7%A8%D7%90%D7%99/%D7%94%D7%97%D7%95%D7%91-%D7%95%D7%94%D7%90%D7%A9%D7%A8%D7%90%D7%99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s://www.boi.org.il/%D7%94%D7%AA%D7%A4%D7%A7%D7%99%D7%93%D7%99%D7%9D-%D7%94%D7%9B%D7%9C%D7%9B%D7%9C%D7%99%D7%99%D7%9D/%D7%A1%D7%98%D7%98%D7%99%D7%A1%D7%98%D7%99%D7%A7%D7%94/%D7%91%D7%A0%D7%A7%D7%99%D7%9D/%D7%90%D7%A9%D7%A8%D7%90%D7%99/%D7%91%D7%99%D7%A6%D7%95%D7%A2%D7%99%D7%9D-%D7%95%D7%A8%D7%99%D7%91%D7%99%D7%95%D7%A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5605C-354C-4087-B2AF-231D19B9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1115</Words>
  <Characters>5577</Characters>
  <Application>Microsoft Office Word</Application>
  <DocSecurity>4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2024-09-23T11:44:00Z</dcterms:created>
  <dcterms:modified xsi:type="dcterms:W3CDTF">2024-09-23T11:44:00Z</dcterms:modified>
</cp:coreProperties>
</file>