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87" w:rsidRPr="00CF6587" w:rsidRDefault="00CF6587" w:rsidP="00DD735B">
      <w:pPr>
        <w:jc w:val="both"/>
        <w:rPr>
          <w:rFonts w:cstheme="minorHAnsi"/>
          <w:sz w:val="24"/>
          <w:szCs w:val="24"/>
          <w:rtl/>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CF6587" w:rsidRPr="00CF6587" w:rsidTr="000A12AD">
        <w:trPr>
          <w:cantSplit/>
        </w:trPr>
        <w:tc>
          <w:tcPr>
            <w:tcW w:w="3392" w:type="dxa"/>
            <w:tcBorders>
              <w:top w:val="nil"/>
              <w:left w:val="nil"/>
              <w:bottom w:val="nil"/>
              <w:right w:val="nil"/>
            </w:tcBorders>
            <w:vAlign w:val="center"/>
          </w:tcPr>
          <w:p w:rsidR="00CF6587" w:rsidRPr="00CF6587" w:rsidRDefault="00CF6587" w:rsidP="000A12AD">
            <w:pPr>
              <w:spacing w:line="360" w:lineRule="auto"/>
              <w:jc w:val="center"/>
              <w:rPr>
                <w:rFonts w:cstheme="minorHAnsi"/>
                <w:b/>
                <w:bCs/>
                <w:sz w:val="24"/>
                <w:szCs w:val="24"/>
              </w:rPr>
            </w:pPr>
            <w:r w:rsidRPr="00CF6587">
              <w:rPr>
                <w:rFonts w:cstheme="minorHAnsi"/>
                <w:b/>
                <w:bCs/>
                <w:sz w:val="24"/>
                <w:szCs w:val="24"/>
                <w:rtl/>
              </w:rPr>
              <w:t>בנק ישראל</w:t>
            </w:r>
          </w:p>
          <w:p w:rsidR="00CF6587" w:rsidRPr="00CF6587" w:rsidRDefault="00CF6587" w:rsidP="000A12AD">
            <w:pPr>
              <w:spacing w:line="360" w:lineRule="auto"/>
              <w:ind w:right="-101"/>
              <w:jc w:val="center"/>
              <w:rPr>
                <w:rFonts w:cstheme="minorHAnsi"/>
                <w:sz w:val="24"/>
                <w:szCs w:val="24"/>
              </w:rPr>
            </w:pPr>
            <w:r w:rsidRPr="00CF6587">
              <w:rPr>
                <w:rFonts w:cstheme="minorHAnsi"/>
                <w:sz w:val="24"/>
                <w:szCs w:val="24"/>
                <w:rtl/>
              </w:rPr>
              <w:t>דוברות והסברה כלכלית</w:t>
            </w:r>
          </w:p>
        </w:tc>
        <w:tc>
          <w:tcPr>
            <w:tcW w:w="2596" w:type="dxa"/>
            <w:tcBorders>
              <w:top w:val="nil"/>
              <w:left w:val="nil"/>
              <w:bottom w:val="nil"/>
              <w:right w:val="nil"/>
            </w:tcBorders>
          </w:tcPr>
          <w:p w:rsidR="00CF6587" w:rsidRPr="00CF6587" w:rsidRDefault="00CF6587" w:rsidP="000A12AD">
            <w:pPr>
              <w:spacing w:line="360" w:lineRule="auto"/>
              <w:jc w:val="center"/>
              <w:rPr>
                <w:rFonts w:cstheme="minorHAnsi"/>
                <w:sz w:val="24"/>
                <w:szCs w:val="24"/>
              </w:rPr>
            </w:pPr>
            <w:r w:rsidRPr="00CF6587">
              <w:rPr>
                <w:rFonts w:cstheme="minorHAnsi"/>
                <w:noProof/>
                <w:sz w:val="24"/>
                <w:szCs w:val="24"/>
              </w:rPr>
              <w:drawing>
                <wp:inline distT="0" distB="0" distL="0" distR="0" wp14:anchorId="44F86E1E" wp14:editId="09A54633">
                  <wp:extent cx="975360" cy="975360"/>
                  <wp:effectExtent l="0" t="0" r="0" b="0"/>
                  <wp:docPr id="1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F6587" w:rsidRPr="00CF6587" w:rsidRDefault="00CF6587" w:rsidP="000A12AD">
            <w:pPr>
              <w:spacing w:line="360" w:lineRule="auto"/>
              <w:jc w:val="right"/>
              <w:rPr>
                <w:rFonts w:cstheme="minorHAnsi"/>
                <w:sz w:val="24"/>
                <w:szCs w:val="24"/>
                <w:rtl/>
              </w:rPr>
            </w:pPr>
            <w:r w:rsidRPr="00CF6587">
              <w:rPr>
                <w:rFonts w:cstheme="minorHAnsi"/>
                <w:sz w:val="24"/>
                <w:szCs w:val="24"/>
                <w:rtl/>
              </w:rPr>
              <w:t>‏ירושלים, ‏‏‏יד באדר ב', תשפ"ד</w:t>
            </w:r>
          </w:p>
          <w:p w:rsidR="00CF6587" w:rsidRPr="00CF6587" w:rsidRDefault="00CF6587" w:rsidP="000A12AD">
            <w:pPr>
              <w:spacing w:line="360" w:lineRule="auto"/>
              <w:jc w:val="right"/>
              <w:rPr>
                <w:rFonts w:cstheme="minorHAnsi"/>
                <w:sz w:val="24"/>
                <w:szCs w:val="24"/>
              </w:rPr>
            </w:pPr>
            <w:r w:rsidRPr="00CF6587">
              <w:rPr>
                <w:rFonts w:cstheme="minorHAnsi"/>
                <w:sz w:val="24"/>
                <w:szCs w:val="24"/>
                <w:rtl/>
              </w:rPr>
              <w:t>‏‏‏‏‏14 במרץ, 2024</w:t>
            </w:r>
          </w:p>
        </w:tc>
      </w:tr>
    </w:tbl>
    <w:p w:rsidR="006E4A40" w:rsidRPr="00CF6587" w:rsidRDefault="006E4A40" w:rsidP="00DD735B">
      <w:pPr>
        <w:jc w:val="both"/>
        <w:rPr>
          <w:rFonts w:cstheme="minorHAnsi"/>
          <w:b/>
          <w:bCs/>
          <w:rtl/>
        </w:rPr>
      </w:pPr>
      <w:r w:rsidRPr="00CF6587">
        <w:rPr>
          <w:rFonts w:cstheme="minorHAnsi"/>
          <w:sz w:val="24"/>
          <w:szCs w:val="24"/>
          <w:rtl/>
        </w:rPr>
        <w:t>הודעה לעיתונות:</w:t>
      </w:r>
    </w:p>
    <w:p w:rsidR="00F62F43" w:rsidRPr="00CF6587" w:rsidRDefault="00964D0D" w:rsidP="00CF6587">
      <w:pPr>
        <w:jc w:val="center"/>
        <w:rPr>
          <w:rFonts w:cstheme="minorHAnsi"/>
          <w:b/>
          <w:bCs/>
          <w:sz w:val="28"/>
          <w:szCs w:val="28"/>
          <w:rtl/>
        </w:rPr>
      </w:pPr>
      <w:r w:rsidRPr="00CF6587">
        <w:rPr>
          <w:rFonts w:cstheme="minorHAnsi"/>
          <w:b/>
          <w:bCs/>
          <w:sz w:val="28"/>
          <w:szCs w:val="28"/>
          <w:rtl/>
        </w:rPr>
        <w:t xml:space="preserve">החטיבה למידע ולסטטיסטיקה בבנק ישראל מפרסמת היום את </w:t>
      </w:r>
      <w:r w:rsidR="00316DB3" w:rsidRPr="00CF6587">
        <w:rPr>
          <w:rFonts w:cstheme="minorHAnsi"/>
          <w:b/>
          <w:bCs/>
          <w:sz w:val="28"/>
          <w:szCs w:val="28"/>
          <w:rtl/>
        </w:rPr>
        <w:t xml:space="preserve">דו"ח </w:t>
      </w:r>
      <w:r w:rsidR="00F62F43" w:rsidRPr="00CF6587">
        <w:rPr>
          <w:rFonts w:cstheme="minorHAnsi"/>
          <w:b/>
          <w:bCs/>
          <w:sz w:val="28"/>
          <w:szCs w:val="28"/>
          <w:rtl/>
        </w:rPr>
        <w:t>'מבט סטטיסטי</w:t>
      </w:r>
      <w:r w:rsidR="00316DB3" w:rsidRPr="00CF6587">
        <w:rPr>
          <w:rFonts w:cstheme="minorHAnsi"/>
          <w:b/>
          <w:bCs/>
          <w:sz w:val="28"/>
          <w:szCs w:val="28"/>
          <w:rtl/>
        </w:rPr>
        <w:t>' לשנת</w:t>
      </w:r>
      <w:r w:rsidR="00F62F43" w:rsidRPr="00CF6587">
        <w:rPr>
          <w:rFonts w:cstheme="minorHAnsi"/>
          <w:b/>
          <w:bCs/>
          <w:sz w:val="28"/>
          <w:szCs w:val="28"/>
          <w:rtl/>
        </w:rPr>
        <w:t xml:space="preserve"> </w:t>
      </w:r>
      <w:r w:rsidR="008112EF" w:rsidRPr="00CF6587">
        <w:rPr>
          <w:rFonts w:cstheme="minorHAnsi"/>
          <w:b/>
          <w:bCs/>
          <w:sz w:val="28"/>
          <w:szCs w:val="28"/>
          <w:rtl/>
        </w:rPr>
        <w:t>2023</w:t>
      </w:r>
    </w:p>
    <w:p w:rsidR="0044305A" w:rsidRDefault="00316DB3" w:rsidP="0044305A">
      <w:pPr>
        <w:rPr>
          <w:rFonts w:cstheme="minorHAnsi"/>
          <w:b/>
          <w:bCs/>
          <w:sz w:val="28"/>
          <w:szCs w:val="28"/>
          <w:rtl/>
        </w:rPr>
      </w:pPr>
      <w:r w:rsidRPr="00CF6587">
        <w:rPr>
          <w:rFonts w:cstheme="minorHAnsi"/>
          <w:b/>
          <w:bCs/>
          <w:sz w:val="28"/>
          <w:szCs w:val="28"/>
          <w:rtl/>
        </w:rPr>
        <w:t xml:space="preserve">הדו"ח מכיל </w:t>
      </w:r>
      <w:r w:rsidR="00F62F43" w:rsidRPr="00CF6587">
        <w:rPr>
          <w:rFonts w:cstheme="minorHAnsi"/>
          <w:b/>
          <w:bCs/>
          <w:sz w:val="28"/>
          <w:szCs w:val="28"/>
          <w:rtl/>
        </w:rPr>
        <w:t>פרסום ראשון של הנתונים והמצרפים הפיננסיים המרכזיים במשק</w:t>
      </w:r>
      <w:r w:rsidR="008D7EF6" w:rsidRPr="00CF6587">
        <w:rPr>
          <w:rFonts w:cstheme="minorHAnsi"/>
          <w:b/>
          <w:bCs/>
          <w:sz w:val="28"/>
          <w:szCs w:val="28"/>
          <w:rtl/>
        </w:rPr>
        <w:t xml:space="preserve"> לשנת </w:t>
      </w:r>
      <w:r w:rsidR="008112EF" w:rsidRPr="00CF6587">
        <w:rPr>
          <w:rFonts w:cstheme="minorHAnsi"/>
          <w:b/>
          <w:bCs/>
          <w:sz w:val="28"/>
          <w:szCs w:val="28"/>
          <w:rtl/>
        </w:rPr>
        <w:t>2023</w:t>
      </w:r>
      <w:r w:rsidR="00CC3C00" w:rsidRPr="00CF6587">
        <w:rPr>
          <w:rFonts w:cstheme="minorHAnsi"/>
          <w:b/>
          <w:bCs/>
          <w:sz w:val="28"/>
          <w:szCs w:val="28"/>
          <w:rtl/>
        </w:rPr>
        <w:t xml:space="preserve"> – </w:t>
      </w:r>
      <w:r w:rsidR="00F35C66" w:rsidRPr="00CF6587">
        <w:rPr>
          <w:rFonts w:cstheme="minorHAnsi"/>
          <w:b/>
          <w:bCs/>
          <w:sz w:val="28"/>
          <w:szCs w:val="28"/>
          <w:rtl/>
        </w:rPr>
        <w:t xml:space="preserve">תיק הנכסים הפיננסיים של הציבור, </w:t>
      </w:r>
      <w:r w:rsidR="004D694C" w:rsidRPr="00CF6587">
        <w:rPr>
          <w:rFonts w:cstheme="minorHAnsi"/>
          <w:b/>
          <w:bCs/>
          <w:sz w:val="28"/>
          <w:szCs w:val="28"/>
          <w:rtl/>
        </w:rPr>
        <w:t>החוב של המגזר הפרטי הלא-פיננסי</w:t>
      </w:r>
      <w:r w:rsidR="00CC3C00" w:rsidRPr="00CF6587">
        <w:rPr>
          <w:rFonts w:cstheme="minorHAnsi"/>
          <w:b/>
          <w:bCs/>
          <w:sz w:val="28"/>
          <w:szCs w:val="28"/>
          <w:rtl/>
        </w:rPr>
        <w:t xml:space="preserve">, </w:t>
      </w:r>
      <w:r w:rsidR="00F35C66" w:rsidRPr="00CF6587">
        <w:rPr>
          <w:rFonts w:cstheme="minorHAnsi"/>
          <w:b/>
          <w:bCs/>
          <w:sz w:val="28"/>
          <w:szCs w:val="28"/>
          <w:rtl/>
        </w:rPr>
        <w:t xml:space="preserve">פעילות </w:t>
      </w:r>
      <w:r w:rsidR="008E7241" w:rsidRPr="00CF6587">
        <w:rPr>
          <w:rFonts w:cstheme="minorHAnsi"/>
          <w:b/>
          <w:bCs/>
          <w:sz w:val="28"/>
          <w:szCs w:val="28"/>
          <w:rtl/>
        </w:rPr>
        <w:t xml:space="preserve">המשק </w:t>
      </w:r>
      <w:r w:rsidR="00F35C66" w:rsidRPr="00CF6587">
        <w:rPr>
          <w:rFonts w:cstheme="minorHAnsi"/>
          <w:b/>
          <w:bCs/>
          <w:sz w:val="28"/>
          <w:szCs w:val="28"/>
          <w:rtl/>
        </w:rPr>
        <w:t xml:space="preserve">מול חו"ל </w:t>
      </w:r>
      <w:r w:rsidR="008E7241" w:rsidRPr="00CF6587">
        <w:rPr>
          <w:rFonts w:cstheme="minorHAnsi"/>
          <w:b/>
          <w:bCs/>
          <w:sz w:val="28"/>
          <w:szCs w:val="28"/>
          <w:rtl/>
        </w:rPr>
        <w:t>ופע</w:t>
      </w:r>
      <w:r w:rsidR="0044305A">
        <w:rPr>
          <w:rFonts w:cstheme="minorHAnsi"/>
          <w:b/>
          <w:bCs/>
          <w:sz w:val="28"/>
          <w:szCs w:val="28"/>
          <w:rtl/>
        </w:rPr>
        <w:t>ילות המגזרים העיקריים במטבע חוץ</w:t>
      </w:r>
    </w:p>
    <w:p w:rsidR="0044305A" w:rsidRPr="0044305A" w:rsidRDefault="0044305A" w:rsidP="0044305A">
      <w:pPr>
        <w:rPr>
          <w:rFonts w:cstheme="minorHAnsi" w:hint="cs"/>
          <w:rtl/>
        </w:rPr>
      </w:pPr>
      <w:r w:rsidRPr="0044305A">
        <w:rPr>
          <w:rFonts w:cstheme="minorHAnsi" w:hint="cs"/>
          <w:rtl/>
        </w:rPr>
        <w:t xml:space="preserve">את כנס מבט </w:t>
      </w:r>
      <w:proofErr w:type="spellStart"/>
      <w:r w:rsidRPr="0044305A">
        <w:rPr>
          <w:rFonts w:cstheme="minorHAnsi" w:hint="cs"/>
          <w:rtl/>
        </w:rPr>
        <w:t>סט</w:t>
      </w:r>
      <w:bookmarkStart w:id="0" w:name="_GoBack"/>
      <w:bookmarkEnd w:id="0"/>
      <w:r w:rsidRPr="0044305A">
        <w:rPr>
          <w:rFonts w:cstheme="minorHAnsi" w:hint="cs"/>
          <w:rtl/>
        </w:rPr>
        <w:t>טסי</w:t>
      </w:r>
      <w:proofErr w:type="spellEnd"/>
      <w:r w:rsidRPr="0044305A">
        <w:rPr>
          <w:rFonts w:cstheme="minorHAnsi" w:hint="cs"/>
          <w:rtl/>
        </w:rPr>
        <w:t xml:space="preserve"> פתח נגיד בנק ישראל לינק לדבריו</w:t>
      </w:r>
    </w:p>
    <w:p w:rsidR="001A1017" w:rsidRPr="0044305A" w:rsidRDefault="0028675A" w:rsidP="0044305A">
      <w:pPr>
        <w:rPr>
          <w:rFonts w:cstheme="minorHAnsi"/>
          <w:b/>
          <w:bCs/>
          <w:sz w:val="28"/>
          <w:szCs w:val="28"/>
          <w:rtl/>
        </w:rPr>
      </w:pPr>
      <w:r w:rsidRPr="00CF6587">
        <w:rPr>
          <w:rFonts w:cstheme="minorHAnsi"/>
          <w:b/>
          <w:bCs/>
          <w:sz w:val="24"/>
          <w:szCs w:val="24"/>
          <w:rtl/>
        </w:rPr>
        <w:t>ב</w:t>
      </w:r>
      <w:r w:rsidR="00716312" w:rsidRPr="00CF6587">
        <w:rPr>
          <w:rFonts w:cstheme="minorHAnsi"/>
          <w:b/>
          <w:bCs/>
          <w:sz w:val="24"/>
          <w:szCs w:val="24"/>
          <w:rtl/>
        </w:rPr>
        <w:t xml:space="preserve">חלק הראשון של 'מבט סטטיסטי </w:t>
      </w:r>
      <w:r w:rsidR="008112EF" w:rsidRPr="00CF6587">
        <w:rPr>
          <w:rFonts w:cstheme="minorHAnsi"/>
          <w:b/>
          <w:bCs/>
          <w:sz w:val="24"/>
          <w:szCs w:val="24"/>
          <w:rtl/>
        </w:rPr>
        <w:t>2023</w:t>
      </w:r>
      <w:r w:rsidR="004E30FA" w:rsidRPr="00CF6587">
        <w:rPr>
          <w:rFonts w:cstheme="minorHAnsi"/>
          <w:sz w:val="24"/>
          <w:szCs w:val="24"/>
          <w:rtl/>
        </w:rPr>
        <w:t xml:space="preserve"> </w:t>
      </w:r>
      <w:r w:rsidRPr="00CF6587">
        <w:rPr>
          <w:rFonts w:cstheme="minorHAnsi"/>
          <w:sz w:val="24"/>
          <w:szCs w:val="24"/>
          <w:rtl/>
        </w:rPr>
        <w:t xml:space="preserve">מוצגים </w:t>
      </w:r>
      <w:r w:rsidR="001A1017" w:rsidRPr="00CF6587">
        <w:rPr>
          <w:rFonts w:cstheme="minorHAnsi"/>
          <w:sz w:val="24"/>
          <w:szCs w:val="24"/>
          <w:rtl/>
        </w:rPr>
        <w:t>בצורה ויזואלית ה</w:t>
      </w:r>
      <w:r w:rsidR="000A3948" w:rsidRPr="00CF6587">
        <w:rPr>
          <w:rFonts w:cstheme="minorHAnsi"/>
          <w:sz w:val="24"/>
          <w:szCs w:val="24"/>
          <w:rtl/>
        </w:rPr>
        <w:t xml:space="preserve">נתונים </w:t>
      </w:r>
      <w:r w:rsidR="001A1017" w:rsidRPr="00CF6587">
        <w:rPr>
          <w:rFonts w:cstheme="minorHAnsi"/>
          <w:sz w:val="24"/>
          <w:szCs w:val="24"/>
          <w:rtl/>
        </w:rPr>
        <w:t xml:space="preserve">והמצרפים </w:t>
      </w:r>
      <w:r w:rsidR="000A3948" w:rsidRPr="00CF6587">
        <w:rPr>
          <w:rFonts w:cstheme="minorHAnsi"/>
          <w:sz w:val="24"/>
          <w:szCs w:val="24"/>
          <w:rtl/>
        </w:rPr>
        <w:t>המרכזיים על הפעילות הפיננסית בישראל, בצירוף מידע והסברים על הנתונים, ההגדרות והעיבודים</w:t>
      </w:r>
      <w:r w:rsidR="001A1017" w:rsidRPr="00CF6587">
        <w:rPr>
          <w:rFonts w:cstheme="minorHAnsi"/>
          <w:sz w:val="24"/>
          <w:szCs w:val="24"/>
          <w:rtl/>
        </w:rPr>
        <w:t xml:space="preserve"> השונים</w:t>
      </w:r>
      <w:r w:rsidR="00653851" w:rsidRPr="00CF6587">
        <w:rPr>
          <w:rFonts w:cstheme="minorHAnsi"/>
          <w:sz w:val="24"/>
          <w:szCs w:val="24"/>
          <w:rtl/>
        </w:rPr>
        <w:t xml:space="preserve">; </w:t>
      </w:r>
      <w:r w:rsidRPr="00CF6587">
        <w:rPr>
          <w:rFonts w:cstheme="minorHAnsi"/>
          <w:b/>
          <w:bCs/>
          <w:sz w:val="24"/>
          <w:szCs w:val="24"/>
          <w:rtl/>
        </w:rPr>
        <w:t>ב</w:t>
      </w:r>
      <w:r w:rsidR="001A1017" w:rsidRPr="00CF6587">
        <w:rPr>
          <w:rFonts w:cstheme="minorHAnsi"/>
          <w:b/>
          <w:bCs/>
          <w:sz w:val="24"/>
          <w:szCs w:val="24"/>
          <w:rtl/>
        </w:rPr>
        <w:t xml:space="preserve">חלק השני </w:t>
      </w:r>
      <w:r w:rsidRPr="00CF6587">
        <w:rPr>
          <w:rFonts w:cstheme="minorHAnsi"/>
          <w:sz w:val="24"/>
          <w:szCs w:val="24"/>
          <w:rtl/>
        </w:rPr>
        <w:t xml:space="preserve">מוצגות </w:t>
      </w:r>
      <w:r w:rsidR="001A1017" w:rsidRPr="00CF6587">
        <w:rPr>
          <w:rFonts w:cstheme="minorHAnsi"/>
          <w:sz w:val="24"/>
          <w:szCs w:val="24"/>
          <w:rtl/>
        </w:rPr>
        <w:t>עבודות בתחום המתודולוגיה הסטטיסטית שנערכו בבנק ישראל.</w:t>
      </w:r>
    </w:p>
    <w:p w:rsidR="00716312" w:rsidRPr="00CF6587" w:rsidRDefault="001A1017" w:rsidP="00CF6587">
      <w:pPr>
        <w:spacing w:line="360" w:lineRule="auto"/>
        <w:rPr>
          <w:rFonts w:cstheme="minorHAnsi"/>
          <w:b/>
          <w:bCs/>
          <w:sz w:val="24"/>
          <w:szCs w:val="24"/>
          <w:rtl/>
        </w:rPr>
      </w:pPr>
      <w:r w:rsidRPr="00CF6587">
        <w:rPr>
          <w:rFonts w:cstheme="minorHAnsi"/>
          <w:sz w:val="24"/>
          <w:szCs w:val="24"/>
          <w:rtl/>
        </w:rPr>
        <w:t xml:space="preserve">החלק הראשון </w:t>
      </w:r>
      <w:r w:rsidR="008E0F81" w:rsidRPr="00CF6587">
        <w:rPr>
          <w:rFonts w:cstheme="minorHAnsi"/>
          <w:sz w:val="24"/>
          <w:szCs w:val="24"/>
          <w:rtl/>
        </w:rPr>
        <w:t>ב</w:t>
      </w:r>
      <w:r w:rsidRPr="00CF6587">
        <w:rPr>
          <w:rFonts w:cstheme="minorHAnsi"/>
          <w:sz w:val="24"/>
          <w:szCs w:val="24"/>
          <w:rtl/>
        </w:rPr>
        <w:t xml:space="preserve">דו"ח </w:t>
      </w:r>
      <w:r w:rsidR="008E0F81" w:rsidRPr="00CF6587">
        <w:rPr>
          <w:rFonts w:cstheme="minorHAnsi"/>
          <w:sz w:val="24"/>
          <w:szCs w:val="24"/>
          <w:rtl/>
        </w:rPr>
        <w:t>עוסק</w:t>
      </w:r>
      <w:r w:rsidRPr="00CF6587">
        <w:rPr>
          <w:rFonts w:cstheme="minorHAnsi"/>
          <w:sz w:val="24"/>
          <w:szCs w:val="24"/>
          <w:rtl/>
        </w:rPr>
        <w:t xml:space="preserve"> </w:t>
      </w:r>
      <w:r w:rsidR="000A3948" w:rsidRPr="00CF6587">
        <w:rPr>
          <w:rFonts w:cstheme="minorHAnsi"/>
          <w:sz w:val="24"/>
          <w:szCs w:val="24"/>
          <w:rtl/>
        </w:rPr>
        <w:t>בארבע</w:t>
      </w:r>
      <w:r w:rsidR="00614AF5" w:rsidRPr="00CF6587">
        <w:rPr>
          <w:rFonts w:cstheme="minorHAnsi"/>
          <w:sz w:val="24"/>
          <w:szCs w:val="24"/>
          <w:rtl/>
        </w:rPr>
        <w:t>ה</w:t>
      </w:r>
      <w:r w:rsidR="000A3948" w:rsidRPr="00CF6587">
        <w:rPr>
          <w:rFonts w:cstheme="minorHAnsi"/>
          <w:sz w:val="24"/>
          <w:szCs w:val="24"/>
          <w:rtl/>
        </w:rPr>
        <w:t xml:space="preserve"> נושאים מרכזיים</w:t>
      </w:r>
      <w:r w:rsidR="00653851" w:rsidRPr="00CF6587">
        <w:rPr>
          <w:rFonts w:cstheme="minorHAnsi"/>
          <w:sz w:val="24"/>
          <w:szCs w:val="24"/>
          <w:rtl/>
        </w:rPr>
        <w:t xml:space="preserve"> בסטטיסטיקה הפיננסית של ישראל</w:t>
      </w:r>
      <w:r w:rsidRPr="00CF6587">
        <w:rPr>
          <w:rFonts w:cstheme="minorHAnsi"/>
          <w:sz w:val="24"/>
          <w:szCs w:val="24"/>
          <w:rtl/>
        </w:rPr>
        <w:t>:</w:t>
      </w:r>
    </w:p>
    <w:p w:rsidR="001504F0" w:rsidRPr="00CF6587" w:rsidRDefault="001504F0" w:rsidP="00DD735B">
      <w:pPr>
        <w:spacing w:line="360" w:lineRule="auto"/>
        <w:jc w:val="both"/>
        <w:rPr>
          <w:rFonts w:cstheme="minorHAnsi"/>
          <w:b/>
          <w:bCs/>
          <w:sz w:val="24"/>
          <w:szCs w:val="24"/>
          <w:rtl/>
        </w:rPr>
      </w:pPr>
    </w:p>
    <w:tbl>
      <w:tblPr>
        <w:tblStyle w:val="aa"/>
        <w:bidiVisual/>
        <w:tblW w:w="8642"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4632"/>
      </w:tblGrid>
      <w:tr w:rsidR="0037178A" w:rsidRPr="00CF6587" w:rsidTr="006733BB">
        <w:tc>
          <w:tcPr>
            <w:tcW w:w="8642" w:type="dxa"/>
            <w:gridSpan w:val="2"/>
          </w:tcPr>
          <w:p w:rsidR="00FF314C" w:rsidRPr="00CF6587" w:rsidRDefault="0037178A" w:rsidP="006F2A5F">
            <w:pPr>
              <w:pStyle w:val="a3"/>
              <w:numPr>
                <w:ilvl w:val="0"/>
                <w:numId w:val="23"/>
              </w:numPr>
              <w:jc w:val="both"/>
              <w:rPr>
                <w:rFonts w:cstheme="minorHAnsi"/>
                <w:noProof/>
              </w:rPr>
            </w:pPr>
            <w:r w:rsidRPr="00CF6587">
              <w:rPr>
                <w:rFonts w:cstheme="minorHAnsi"/>
                <w:b/>
                <w:bCs/>
                <w:sz w:val="24"/>
                <w:szCs w:val="24"/>
                <w:rtl/>
              </w:rPr>
              <w:t>תיק הנכסים הפיננסיים של הציבור</w:t>
            </w:r>
          </w:p>
          <w:p w:rsidR="0037178A" w:rsidRPr="00CF6587" w:rsidRDefault="0037178A" w:rsidP="00FF314C">
            <w:pPr>
              <w:jc w:val="both"/>
              <w:rPr>
                <w:rFonts w:cstheme="minorHAnsi"/>
                <w:noProof/>
                <w:rtl/>
              </w:rPr>
            </w:pPr>
            <w:r w:rsidRPr="00CF6587">
              <w:rPr>
                <w:rFonts w:cstheme="minorHAnsi"/>
                <w:b/>
                <w:bCs/>
                <w:sz w:val="24"/>
                <w:szCs w:val="24"/>
                <w:rtl/>
              </w:rPr>
              <w:t xml:space="preserve"> </w:t>
            </w:r>
          </w:p>
        </w:tc>
      </w:tr>
      <w:tr w:rsidR="00494260" w:rsidRPr="00CF6587" w:rsidTr="0080246E">
        <w:tc>
          <w:tcPr>
            <w:tcW w:w="4010" w:type="dxa"/>
          </w:tcPr>
          <w:p w:rsidR="004B5DF8" w:rsidRPr="00CF6587" w:rsidRDefault="004B5DF8" w:rsidP="00FF314C">
            <w:pPr>
              <w:pStyle w:val="a3"/>
              <w:numPr>
                <w:ilvl w:val="0"/>
                <w:numId w:val="31"/>
              </w:numPr>
              <w:jc w:val="both"/>
              <w:rPr>
                <w:rFonts w:cstheme="minorHAnsi"/>
                <w:sz w:val="20"/>
                <w:szCs w:val="20"/>
                <w:rtl/>
              </w:rPr>
            </w:pPr>
            <w:r w:rsidRPr="00CF6587">
              <w:rPr>
                <w:rFonts w:cstheme="minorHAnsi"/>
                <w:sz w:val="20"/>
                <w:szCs w:val="20"/>
                <w:rtl/>
              </w:rPr>
              <w:t xml:space="preserve">למרות הזעזועים המקומיים ועלייה חדה באי הוודאות בשוקי ההון, יתרת תיק הנכסים הפיננסיים של הציבור עלתה בסיכום שנת 2023 בכ-7.3%. </w:t>
            </w:r>
          </w:p>
          <w:p w:rsidR="004B5DF8" w:rsidRPr="00CF6587" w:rsidRDefault="004B5DF8" w:rsidP="00FF314C">
            <w:pPr>
              <w:pStyle w:val="a3"/>
              <w:numPr>
                <w:ilvl w:val="0"/>
                <w:numId w:val="31"/>
              </w:numPr>
              <w:jc w:val="both"/>
              <w:rPr>
                <w:rFonts w:cstheme="minorHAnsi"/>
                <w:sz w:val="20"/>
                <w:szCs w:val="20"/>
                <w:rtl/>
              </w:rPr>
            </w:pPr>
            <w:r w:rsidRPr="00CF6587">
              <w:rPr>
                <w:rFonts w:cstheme="minorHAnsi"/>
                <w:sz w:val="20"/>
                <w:szCs w:val="20"/>
                <w:rtl/>
              </w:rPr>
              <w:t>בלטה העל</w:t>
            </w:r>
            <w:r w:rsidR="00FA75FC" w:rsidRPr="00CF6587">
              <w:rPr>
                <w:rFonts w:cstheme="minorHAnsi"/>
                <w:sz w:val="20"/>
                <w:szCs w:val="20"/>
                <w:rtl/>
              </w:rPr>
              <w:t>י</w:t>
            </w:r>
            <w:r w:rsidRPr="00CF6587">
              <w:rPr>
                <w:rFonts w:cstheme="minorHAnsi"/>
                <w:sz w:val="20"/>
                <w:szCs w:val="20"/>
                <w:rtl/>
              </w:rPr>
              <w:t xml:space="preserve">יה ביתרת הנכסים הפיננסים בחו"ל, על רקע עליות המחירים בשוקי ההון הגלובליים, וברכיב האחזקות במק"מ, על רקע עליית הריבית. </w:t>
            </w:r>
          </w:p>
          <w:p w:rsidR="004B5DF8" w:rsidRPr="00CF6587" w:rsidRDefault="004B5DF8" w:rsidP="00FF314C">
            <w:pPr>
              <w:pStyle w:val="a3"/>
              <w:numPr>
                <w:ilvl w:val="0"/>
                <w:numId w:val="31"/>
              </w:numPr>
              <w:jc w:val="both"/>
              <w:rPr>
                <w:rFonts w:cstheme="minorHAnsi"/>
                <w:sz w:val="20"/>
                <w:szCs w:val="20"/>
                <w:rtl/>
              </w:rPr>
            </w:pPr>
            <w:r w:rsidRPr="00CF6587">
              <w:rPr>
                <w:rFonts w:cstheme="minorHAnsi"/>
                <w:sz w:val="20"/>
                <w:szCs w:val="20"/>
                <w:rtl/>
              </w:rPr>
              <w:t>ברכיב המניות בארץ נרשמה תנודתיות על רקע אי הוודאות המקומית</w:t>
            </w:r>
            <w:r w:rsidR="00FA75FC" w:rsidRPr="00CF6587">
              <w:rPr>
                <w:rFonts w:cstheme="minorHAnsi"/>
                <w:sz w:val="20"/>
                <w:szCs w:val="20"/>
                <w:rtl/>
              </w:rPr>
              <w:t>.</w:t>
            </w:r>
            <w:r w:rsidRPr="00CF6587">
              <w:rPr>
                <w:rFonts w:cstheme="minorHAnsi"/>
                <w:sz w:val="20"/>
                <w:szCs w:val="20"/>
                <w:rtl/>
              </w:rPr>
              <w:t xml:space="preserve"> </w:t>
            </w:r>
          </w:p>
          <w:p w:rsidR="00494260" w:rsidRPr="00CF6587" w:rsidRDefault="004B5DF8" w:rsidP="00FF314C">
            <w:pPr>
              <w:pStyle w:val="a3"/>
              <w:numPr>
                <w:ilvl w:val="0"/>
                <w:numId w:val="31"/>
              </w:numPr>
              <w:jc w:val="both"/>
              <w:rPr>
                <w:rFonts w:cstheme="minorHAnsi"/>
                <w:sz w:val="24"/>
                <w:szCs w:val="24"/>
                <w:rtl/>
              </w:rPr>
            </w:pPr>
            <w:r w:rsidRPr="00CF6587">
              <w:rPr>
                <w:rFonts w:cstheme="minorHAnsi"/>
                <w:sz w:val="20"/>
                <w:szCs w:val="20"/>
                <w:rtl/>
              </w:rPr>
              <w:t>הגופים המוסדיים הגדילו את החשיפה לנכסים זרים. ובקרנות הנאמנות נרשמה צבירה חיובית, בעיקר בקרנות הכספיות.</w:t>
            </w:r>
            <w:r w:rsidRPr="00CF6587">
              <w:rPr>
                <w:rFonts w:cstheme="minorHAnsi"/>
                <w:color w:val="000000" w:themeColor="text1"/>
                <w:sz w:val="21"/>
                <w:szCs w:val="21"/>
                <w:rtl/>
              </w:rPr>
              <w:t xml:space="preserve"> </w:t>
            </w:r>
          </w:p>
        </w:tc>
        <w:tc>
          <w:tcPr>
            <w:tcW w:w="4632" w:type="dxa"/>
          </w:tcPr>
          <w:p w:rsidR="0083643A" w:rsidRPr="00CF6587" w:rsidRDefault="0083643A" w:rsidP="000D40E4">
            <w:pPr>
              <w:ind w:right="-112"/>
              <w:rPr>
                <w:rFonts w:eastAsiaTheme="majorEastAsia" w:cstheme="minorHAnsi"/>
                <w:b/>
                <w:bCs/>
                <w:sz w:val="21"/>
                <w:szCs w:val="21"/>
                <w:rtl/>
              </w:rPr>
            </w:pPr>
            <w:r w:rsidRPr="00CF6587">
              <w:rPr>
                <w:rFonts w:eastAsiaTheme="majorEastAsia" w:cstheme="minorHAnsi"/>
                <w:b/>
                <w:bCs/>
                <w:sz w:val="21"/>
                <w:szCs w:val="21"/>
                <w:rtl/>
              </w:rPr>
              <w:t xml:space="preserve">שינוי ביתרת הנכסים בתיק בשנת </w:t>
            </w:r>
            <w:r w:rsidR="000D40E4" w:rsidRPr="00CF6587">
              <w:rPr>
                <w:rFonts w:eastAsiaTheme="majorEastAsia" w:cstheme="minorHAnsi"/>
                <w:b/>
                <w:bCs/>
                <w:sz w:val="21"/>
                <w:szCs w:val="21"/>
                <w:rtl/>
              </w:rPr>
              <w:t>2023</w:t>
            </w:r>
          </w:p>
          <w:p w:rsidR="0083643A" w:rsidRPr="00CF6587" w:rsidRDefault="0083643A" w:rsidP="0083643A">
            <w:pPr>
              <w:spacing w:after="180"/>
              <w:ind w:right="-113"/>
              <w:rPr>
                <w:rFonts w:eastAsiaTheme="majorEastAsia" w:cstheme="minorHAnsi"/>
                <w:sz w:val="21"/>
                <w:szCs w:val="21"/>
                <w:rtl/>
              </w:rPr>
            </w:pPr>
            <w:r w:rsidRPr="00CF6587">
              <w:rPr>
                <w:rFonts w:eastAsiaTheme="majorEastAsia" w:cstheme="minorHAnsi"/>
                <w:sz w:val="21"/>
                <w:szCs w:val="21"/>
                <w:rtl/>
              </w:rPr>
              <w:t>שינוי במיליארדי ש"ח (עמודות) ושינוי באחוזים (בועות)</w:t>
            </w:r>
          </w:p>
          <w:p w:rsidR="00494260" w:rsidRPr="00CF6587" w:rsidRDefault="005A55AA" w:rsidP="0037178A">
            <w:pPr>
              <w:jc w:val="both"/>
              <w:rPr>
                <w:rFonts w:cstheme="minorHAnsi"/>
                <w:sz w:val="16"/>
                <w:szCs w:val="16"/>
                <w:rtl/>
              </w:rPr>
            </w:pPr>
            <w:r w:rsidRPr="00CF6587">
              <w:rPr>
                <w:rFonts w:eastAsiaTheme="majorEastAsia" w:cstheme="minorHAnsi"/>
                <w:b/>
                <w:bCs/>
                <w:noProof/>
                <w:sz w:val="20"/>
                <w:szCs w:val="20"/>
              </w:rPr>
              <w:drawing>
                <wp:inline distT="0" distB="0" distL="0" distR="0" wp14:anchorId="6D01F05A" wp14:editId="7E6E9597">
                  <wp:extent cx="2700000" cy="1624576"/>
                  <wp:effectExtent l="0" t="0" r="571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00" cy="1624576"/>
                          </a:xfrm>
                          <a:prstGeom prst="rect">
                            <a:avLst/>
                          </a:prstGeom>
                          <a:noFill/>
                        </pic:spPr>
                      </pic:pic>
                    </a:graphicData>
                  </a:graphic>
                </wp:inline>
              </w:drawing>
            </w:r>
          </w:p>
          <w:p w:rsidR="005A55AA" w:rsidRPr="00CF6587" w:rsidRDefault="005A55AA" w:rsidP="0037178A">
            <w:pPr>
              <w:jc w:val="both"/>
              <w:rPr>
                <w:rFonts w:cstheme="minorHAnsi"/>
                <w:sz w:val="16"/>
                <w:szCs w:val="16"/>
                <w:rtl/>
              </w:rPr>
            </w:pPr>
          </w:p>
          <w:p w:rsidR="005A55AA" w:rsidRPr="00CF6587" w:rsidRDefault="005A55AA" w:rsidP="005A55AA">
            <w:pPr>
              <w:ind w:right="-112"/>
              <w:rPr>
                <w:rFonts w:eastAsiaTheme="majorEastAsia" w:cstheme="minorHAnsi"/>
                <w:b/>
                <w:bCs/>
                <w:sz w:val="16"/>
                <w:szCs w:val="16"/>
                <w:rtl/>
              </w:rPr>
            </w:pPr>
            <w:r w:rsidRPr="00CF6587">
              <w:rPr>
                <w:rFonts w:eastAsiaTheme="majorEastAsia" w:cstheme="minorHAnsi"/>
                <w:sz w:val="16"/>
                <w:szCs w:val="16"/>
                <w:rtl/>
              </w:rPr>
              <w:t xml:space="preserve">*נכסים אחרים - </w:t>
            </w:r>
            <w:r w:rsidRPr="00CF6587">
              <w:rPr>
                <w:rFonts w:cstheme="minorHAnsi"/>
                <w:sz w:val="16"/>
                <w:szCs w:val="16"/>
                <w:rtl/>
              </w:rPr>
              <w:t>נכסים המנוהלים בידי המוסדיים וכוללים מניות לא סחירות, הלוואות, תיקי משכנתאות, זכויות מקרקעין ונגזרים.</w:t>
            </w:r>
          </w:p>
          <w:p w:rsidR="005A55AA" w:rsidRPr="00CF6587" w:rsidRDefault="005A55AA" w:rsidP="000E5B5B">
            <w:pPr>
              <w:ind w:right="-112"/>
              <w:rPr>
                <w:rFonts w:eastAsiaTheme="majorEastAsia" w:cstheme="minorHAnsi"/>
                <w:b/>
                <w:bCs/>
                <w:sz w:val="16"/>
                <w:szCs w:val="16"/>
                <w:rtl/>
              </w:rPr>
            </w:pPr>
            <w:r w:rsidRPr="00CF6587">
              <w:rPr>
                <w:rFonts w:cstheme="minorHAnsi"/>
                <w:noProof/>
                <w:sz w:val="16"/>
                <w:szCs w:val="16"/>
                <w:rtl/>
              </w:rPr>
              <w:t>המקור: נתוני</w:t>
            </w:r>
            <w:r w:rsidR="000E5B5B" w:rsidRPr="00CF6587">
              <w:rPr>
                <w:rFonts w:cstheme="minorHAnsi"/>
                <w:noProof/>
                <w:sz w:val="16"/>
                <w:szCs w:val="16"/>
                <w:rtl/>
              </w:rPr>
              <w:t>ם מדווחים</w:t>
            </w:r>
            <w:r w:rsidRPr="00CF6587">
              <w:rPr>
                <w:rFonts w:cstheme="minorHAnsi"/>
                <w:noProof/>
                <w:sz w:val="16"/>
                <w:szCs w:val="16"/>
                <w:rtl/>
              </w:rPr>
              <w:t xml:space="preserve"> ועיבודי בנק ישראל </w:t>
            </w:r>
          </w:p>
          <w:p w:rsidR="005A55AA" w:rsidRPr="00CF6587" w:rsidRDefault="005A55AA" w:rsidP="0037178A">
            <w:pPr>
              <w:jc w:val="both"/>
              <w:rPr>
                <w:rFonts w:cstheme="minorHAnsi"/>
                <w:sz w:val="16"/>
                <w:szCs w:val="16"/>
                <w:rtl/>
              </w:rPr>
            </w:pPr>
          </w:p>
        </w:tc>
      </w:tr>
    </w:tbl>
    <w:p w:rsidR="00B15636" w:rsidRPr="00CF6587" w:rsidRDefault="00B15636" w:rsidP="00DD735B">
      <w:pPr>
        <w:spacing w:line="360" w:lineRule="auto"/>
        <w:jc w:val="both"/>
        <w:rPr>
          <w:rFonts w:cstheme="minorHAnsi"/>
          <w:sz w:val="24"/>
          <w:szCs w:val="24"/>
          <w:rtl/>
        </w:rPr>
      </w:pPr>
    </w:p>
    <w:p w:rsidR="00494260" w:rsidRPr="00CF6587" w:rsidRDefault="00494260" w:rsidP="00DD735B">
      <w:pPr>
        <w:spacing w:line="360" w:lineRule="auto"/>
        <w:jc w:val="both"/>
        <w:rPr>
          <w:rFonts w:cstheme="minorHAnsi"/>
          <w:sz w:val="24"/>
          <w:szCs w:val="24"/>
          <w:rtl/>
        </w:rPr>
      </w:pPr>
    </w:p>
    <w:p w:rsidR="00494260" w:rsidRPr="00CF6587" w:rsidRDefault="00494260" w:rsidP="00DD735B">
      <w:pPr>
        <w:spacing w:line="360" w:lineRule="auto"/>
        <w:jc w:val="both"/>
        <w:rPr>
          <w:rFonts w:cstheme="minorHAnsi"/>
          <w:sz w:val="24"/>
          <w:szCs w:val="24"/>
          <w:rtl/>
        </w:rPr>
      </w:pPr>
    </w:p>
    <w:p w:rsidR="00494260" w:rsidRPr="00CF6587" w:rsidRDefault="00494260" w:rsidP="00DD735B">
      <w:pPr>
        <w:spacing w:line="360" w:lineRule="auto"/>
        <w:jc w:val="both"/>
        <w:rPr>
          <w:rFonts w:cstheme="minorHAnsi"/>
          <w:sz w:val="24"/>
          <w:szCs w:val="24"/>
          <w:rtl/>
        </w:rPr>
      </w:pPr>
    </w:p>
    <w:p w:rsidR="00494260" w:rsidRPr="00CF6587" w:rsidRDefault="00494260" w:rsidP="00DD735B">
      <w:pPr>
        <w:spacing w:line="360" w:lineRule="auto"/>
        <w:jc w:val="both"/>
        <w:rPr>
          <w:rFonts w:cstheme="minorHAnsi"/>
          <w:sz w:val="24"/>
          <w:szCs w:val="24"/>
          <w:rtl/>
        </w:rPr>
      </w:pPr>
    </w:p>
    <w:tbl>
      <w:tblPr>
        <w:tblStyle w:val="aa"/>
        <w:bidiVisual/>
        <w:tblW w:w="8738"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9"/>
        <w:gridCol w:w="4529"/>
      </w:tblGrid>
      <w:tr w:rsidR="0037178A" w:rsidRPr="00CF6587" w:rsidTr="0037178A">
        <w:trPr>
          <w:trHeight w:val="349"/>
        </w:trPr>
        <w:tc>
          <w:tcPr>
            <w:tcW w:w="8738" w:type="dxa"/>
            <w:gridSpan w:val="2"/>
          </w:tcPr>
          <w:p w:rsidR="0037178A" w:rsidRPr="00CF6587" w:rsidRDefault="0037178A" w:rsidP="0037178A">
            <w:pPr>
              <w:pStyle w:val="a3"/>
              <w:numPr>
                <w:ilvl w:val="0"/>
                <w:numId w:val="23"/>
              </w:numPr>
              <w:jc w:val="both"/>
              <w:rPr>
                <w:rFonts w:cstheme="minorHAnsi"/>
                <w:noProof/>
                <w:sz w:val="16"/>
                <w:szCs w:val="16"/>
                <w:rtl/>
              </w:rPr>
            </w:pPr>
            <w:r w:rsidRPr="00CF6587">
              <w:rPr>
                <w:rFonts w:cstheme="minorHAnsi"/>
                <w:b/>
                <w:bCs/>
                <w:sz w:val="24"/>
                <w:szCs w:val="24"/>
                <w:rtl/>
              </w:rPr>
              <w:t>החוב של המגזר הפרטי הלא-פיננסי</w:t>
            </w:r>
          </w:p>
        </w:tc>
      </w:tr>
      <w:tr w:rsidR="0037178A" w:rsidRPr="00CF6587" w:rsidTr="006F2A5F">
        <w:trPr>
          <w:trHeight w:val="349"/>
        </w:trPr>
        <w:tc>
          <w:tcPr>
            <w:tcW w:w="4209" w:type="dxa"/>
          </w:tcPr>
          <w:p w:rsidR="008853A8" w:rsidRPr="00CF6587" w:rsidRDefault="008853A8" w:rsidP="00FF314C">
            <w:pPr>
              <w:pStyle w:val="a3"/>
              <w:numPr>
                <w:ilvl w:val="0"/>
                <w:numId w:val="31"/>
              </w:numPr>
              <w:spacing w:line="276" w:lineRule="auto"/>
              <w:jc w:val="both"/>
              <w:rPr>
                <w:rFonts w:cstheme="minorHAnsi"/>
                <w:sz w:val="20"/>
                <w:szCs w:val="20"/>
              </w:rPr>
            </w:pPr>
            <w:r w:rsidRPr="00CF6587">
              <w:rPr>
                <w:rFonts w:cstheme="minorHAnsi"/>
                <w:sz w:val="20"/>
                <w:szCs w:val="20"/>
                <w:rtl/>
              </w:rPr>
              <w:t xml:space="preserve">בשנת 2023 נמשכה העלייה ביתרת החוב של המגזר הפרטי הלא-פיננסי, אך בשיעור נמוך מאשר בשנים הקודמות (4%). </w:t>
            </w:r>
          </w:p>
          <w:p w:rsidR="008853A8" w:rsidRPr="00CF6587" w:rsidRDefault="008853A8" w:rsidP="00FF314C">
            <w:pPr>
              <w:pStyle w:val="a3"/>
              <w:numPr>
                <w:ilvl w:val="0"/>
                <w:numId w:val="31"/>
              </w:numPr>
              <w:spacing w:line="276" w:lineRule="auto"/>
              <w:jc w:val="both"/>
              <w:rPr>
                <w:rFonts w:cstheme="minorHAnsi"/>
                <w:sz w:val="20"/>
                <w:szCs w:val="20"/>
                <w:rtl/>
              </w:rPr>
            </w:pPr>
            <w:r w:rsidRPr="00CF6587">
              <w:rPr>
                <w:rFonts w:cstheme="minorHAnsi"/>
                <w:sz w:val="20"/>
                <w:szCs w:val="20"/>
                <w:rtl/>
              </w:rPr>
              <w:t xml:space="preserve">ההאטה בשיעור הגידול של יתרה זו, שאפיינה את שני המגזרים הלווים, החלה ברביע השלישי של השנה והתעצמה ברביע האחרון על רקע מלחמת 'חרבות ברזל'. </w:t>
            </w:r>
          </w:p>
          <w:p w:rsidR="0083643A" w:rsidRPr="00CF6587" w:rsidRDefault="008853A8" w:rsidP="00FF314C">
            <w:pPr>
              <w:pStyle w:val="a3"/>
              <w:numPr>
                <w:ilvl w:val="0"/>
                <w:numId w:val="31"/>
              </w:numPr>
              <w:spacing w:line="276" w:lineRule="auto"/>
              <w:jc w:val="both"/>
              <w:rPr>
                <w:rFonts w:cstheme="minorHAnsi"/>
                <w:sz w:val="24"/>
                <w:szCs w:val="24"/>
                <w:rtl/>
              </w:rPr>
            </w:pPr>
            <w:r w:rsidRPr="00CF6587">
              <w:rPr>
                <w:rFonts w:cstheme="minorHAnsi"/>
                <w:sz w:val="20"/>
                <w:szCs w:val="20"/>
                <w:rtl/>
              </w:rPr>
              <w:t>על מנת לצמצם את הפגיעה הכלכלית של המלחמה בשני המגזרים הלווים, נקטו ממשלת ישראל ובנק ישראל צעדים שונים לעידוד מתן אשראי והקלות בתנאי האשראי הקיימים.</w:t>
            </w:r>
          </w:p>
        </w:tc>
        <w:tc>
          <w:tcPr>
            <w:tcW w:w="4529" w:type="dxa"/>
          </w:tcPr>
          <w:p w:rsidR="0083643A" w:rsidRPr="00CF6587" w:rsidRDefault="0083643A" w:rsidP="0083643A">
            <w:pPr>
              <w:ind w:right="-112"/>
              <w:rPr>
                <w:rFonts w:eastAsiaTheme="majorEastAsia" w:cstheme="minorHAnsi"/>
                <w:b/>
                <w:bCs/>
                <w:sz w:val="21"/>
                <w:szCs w:val="21"/>
                <w:rtl/>
              </w:rPr>
            </w:pPr>
            <w:bookmarkStart w:id="1" w:name="OLE_LINK2"/>
            <w:r w:rsidRPr="00CF6587">
              <w:rPr>
                <w:rFonts w:eastAsiaTheme="majorEastAsia" w:cstheme="minorHAnsi"/>
                <w:b/>
                <w:bCs/>
                <w:sz w:val="21"/>
                <w:szCs w:val="21"/>
                <w:rtl/>
              </w:rPr>
              <w:t>שיעורי השינוי השנתיים ביתרת החוב של המגזר הפרטי הלא-פיננסי</w:t>
            </w:r>
            <w:bookmarkEnd w:id="1"/>
          </w:p>
          <w:p w:rsidR="00E53F9A" w:rsidRPr="00CF6587" w:rsidRDefault="00E53F9A" w:rsidP="0083643A">
            <w:pPr>
              <w:ind w:right="-112"/>
              <w:rPr>
                <w:rFonts w:eastAsiaTheme="majorEastAsia" w:cstheme="minorHAnsi"/>
                <w:sz w:val="21"/>
                <w:szCs w:val="21"/>
                <w:rtl/>
              </w:rPr>
            </w:pPr>
            <w:r w:rsidRPr="00CF6587">
              <w:rPr>
                <w:rFonts w:eastAsiaTheme="majorEastAsia" w:cstheme="minorHAnsi"/>
                <w:sz w:val="21"/>
                <w:szCs w:val="21"/>
                <w:rtl/>
              </w:rPr>
              <w:t>אחוזים</w:t>
            </w:r>
          </w:p>
          <w:p w:rsidR="00E53F9A" w:rsidRPr="00CF6587" w:rsidRDefault="00E53F9A" w:rsidP="0083643A">
            <w:pPr>
              <w:ind w:right="-112"/>
              <w:rPr>
                <w:rFonts w:eastAsiaTheme="majorEastAsia" w:cstheme="minorHAnsi"/>
                <w:b/>
                <w:bCs/>
                <w:sz w:val="21"/>
                <w:szCs w:val="21"/>
                <w:rtl/>
              </w:rPr>
            </w:pPr>
          </w:p>
          <w:p w:rsidR="0083643A" w:rsidRPr="00CF6587" w:rsidRDefault="00E53F9A" w:rsidP="0083643A">
            <w:pPr>
              <w:spacing w:after="180"/>
              <w:ind w:right="-113"/>
              <w:rPr>
                <w:rFonts w:eastAsiaTheme="majorEastAsia" w:cstheme="minorHAnsi"/>
                <w:noProof/>
                <w:sz w:val="21"/>
                <w:szCs w:val="21"/>
                <w:rtl/>
              </w:rPr>
            </w:pPr>
            <w:r w:rsidRPr="00CF6587">
              <w:rPr>
                <w:rFonts w:eastAsiaTheme="majorEastAsia" w:cstheme="minorHAnsi"/>
                <w:noProof/>
                <w:sz w:val="21"/>
                <w:szCs w:val="21"/>
              </w:rPr>
              <w:drawing>
                <wp:inline distT="0" distB="0" distL="0" distR="0" wp14:anchorId="330C3026">
                  <wp:extent cx="2720480" cy="1661823"/>
                  <wp:effectExtent l="0" t="0" r="381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495" cy="1672217"/>
                          </a:xfrm>
                          <a:prstGeom prst="rect">
                            <a:avLst/>
                          </a:prstGeom>
                          <a:noFill/>
                        </pic:spPr>
                      </pic:pic>
                    </a:graphicData>
                  </a:graphic>
                </wp:inline>
              </w:drawing>
            </w:r>
            <w:r w:rsidRPr="00CF6587">
              <w:rPr>
                <w:rFonts w:eastAsiaTheme="majorEastAsia" w:cstheme="minorHAnsi"/>
                <w:sz w:val="16"/>
                <w:szCs w:val="16"/>
                <w:rtl/>
              </w:rPr>
              <w:t>המקור: דיווחים לבנק ישראל, הבורסה לני"ע ועיבודי בנק ישראל.</w:t>
            </w:r>
          </w:p>
          <w:p w:rsidR="00046E11" w:rsidRPr="00CF6587" w:rsidRDefault="00046E11" w:rsidP="0083643A">
            <w:pPr>
              <w:pStyle w:val="a3"/>
              <w:ind w:left="0"/>
              <w:rPr>
                <w:rFonts w:cstheme="minorHAnsi"/>
                <w:b/>
                <w:bCs/>
                <w:sz w:val="24"/>
                <w:szCs w:val="24"/>
                <w:rtl/>
              </w:rPr>
            </w:pPr>
          </w:p>
        </w:tc>
      </w:tr>
    </w:tbl>
    <w:tbl>
      <w:tblPr>
        <w:tblStyle w:val="aa"/>
        <w:tblpPr w:leftFromText="180" w:rightFromText="180" w:vertAnchor="text" w:horzAnchor="margin" w:tblpY="116"/>
        <w:bidiVisual/>
        <w:tblW w:w="8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540"/>
      </w:tblGrid>
      <w:tr w:rsidR="00F13238" w:rsidRPr="00CF6587" w:rsidTr="00A45B71">
        <w:trPr>
          <w:trHeight w:val="66"/>
        </w:trPr>
        <w:tc>
          <w:tcPr>
            <w:tcW w:w="8792" w:type="dxa"/>
            <w:gridSpan w:val="2"/>
          </w:tcPr>
          <w:p w:rsidR="00F13238" w:rsidRPr="00CF6587" w:rsidRDefault="00F13238" w:rsidP="00F71074">
            <w:pPr>
              <w:pStyle w:val="a3"/>
              <w:numPr>
                <w:ilvl w:val="0"/>
                <w:numId w:val="23"/>
              </w:numPr>
              <w:tabs>
                <w:tab w:val="left" w:pos="984"/>
              </w:tabs>
              <w:ind w:right="749"/>
              <w:jc w:val="both"/>
              <w:rPr>
                <w:rFonts w:cstheme="minorHAnsi"/>
                <w:b/>
                <w:bCs/>
                <w:noProof/>
                <w:sz w:val="24"/>
                <w:szCs w:val="24"/>
                <w:rtl/>
              </w:rPr>
            </w:pPr>
            <w:r w:rsidRPr="00CF6587">
              <w:rPr>
                <w:rFonts w:cstheme="minorHAnsi"/>
                <w:b/>
                <w:bCs/>
                <w:noProof/>
                <w:sz w:val="24"/>
                <w:szCs w:val="24"/>
                <w:rtl/>
              </w:rPr>
              <w:t>פעילות המשק מול חו"ל</w:t>
            </w:r>
            <w:r w:rsidR="004D3F3D" w:rsidRPr="00CF6587">
              <w:rPr>
                <w:rFonts w:cstheme="minorHAnsi"/>
                <w:b/>
                <w:bCs/>
                <w:noProof/>
                <w:sz w:val="24"/>
                <w:szCs w:val="24"/>
                <w:rtl/>
              </w:rPr>
              <w:t xml:space="preserve"> </w:t>
            </w:r>
          </w:p>
        </w:tc>
      </w:tr>
      <w:tr w:rsidR="00835150" w:rsidRPr="00CF6587" w:rsidTr="000E5B5B">
        <w:trPr>
          <w:trHeight w:val="3403"/>
        </w:trPr>
        <w:tc>
          <w:tcPr>
            <w:tcW w:w="4252" w:type="dxa"/>
          </w:tcPr>
          <w:p w:rsidR="00FA75FC" w:rsidRPr="00CF6587" w:rsidRDefault="00FA75FC" w:rsidP="00FA75FC">
            <w:pPr>
              <w:pStyle w:val="a3"/>
              <w:spacing w:line="276" w:lineRule="auto"/>
              <w:jc w:val="both"/>
              <w:rPr>
                <w:rFonts w:cstheme="minorHAnsi"/>
                <w:sz w:val="20"/>
                <w:szCs w:val="20"/>
              </w:rPr>
            </w:pPr>
          </w:p>
          <w:p w:rsidR="00FA75FC" w:rsidRPr="00CF6587" w:rsidRDefault="00FA75FC" w:rsidP="00FA75FC">
            <w:pPr>
              <w:pStyle w:val="a3"/>
              <w:numPr>
                <w:ilvl w:val="0"/>
                <w:numId w:val="31"/>
              </w:numPr>
              <w:spacing w:line="276" w:lineRule="auto"/>
              <w:jc w:val="both"/>
              <w:rPr>
                <w:rFonts w:cstheme="minorHAnsi"/>
                <w:sz w:val="20"/>
                <w:szCs w:val="20"/>
                <w:rtl/>
              </w:rPr>
            </w:pPr>
            <w:r w:rsidRPr="00CF6587">
              <w:rPr>
                <w:rFonts w:cstheme="minorHAnsi"/>
                <w:sz w:val="20"/>
                <w:szCs w:val="20"/>
                <w:rtl/>
              </w:rPr>
              <w:t>בשנת 2023 חלה ירידה משמעותית בהיקף ההשקעות נטו של תושבי חוץ במשק .</w:t>
            </w:r>
          </w:p>
          <w:p w:rsidR="00FA75FC" w:rsidRPr="00CF6587" w:rsidRDefault="00FA75FC" w:rsidP="00FA75FC">
            <w:pPr>
              <w:pStyle w:val="a3"/>
              <w:numPr>
                <w:ilvl w:val="0"/>
                <w:numId w:val="31"/>
              </w:numPr>
              <w:spacing w:line="276" w:lineRule="auto"/>
              <w:jc w:val="both"/>
              <w:rPr>
                <w:rFonts w:cstheme="minorHAnsi"/>
                <w:sz w:val="20"/>
                <w:szCs w:val="20"/>
                <w:rtl/>
              </w:rPr>
            </w:pPr>
            <w:r w:rsidRPr="00CF6587">
              <w:rPr>
                <w:rFonts w:cstheme="minorHAnsi"/>
                <w:sz w:val="20"/>
                <w:szCs w:val="20"/>
                <w:rtl/>
              </w:rPr>
              <w:t>יתרת ההתחייבויות של המשק כלפי חו"ל</w:t>
            </w:r>
            <w:r w:rsidRPr="00CF6587">
              <w:rPr>
                <w:rStyle w:val="af2"/>
                <w:rFonts w:cstheme="minorHAnsi"/>
                <w:sz w:val="20"/>
                <w:szCs w:val="20"/>
                <w:rtl/>
              </w:rPr>
              <w:footnoteReference w:id="1"/>
            </w:r>
            <w:r w:rsidRPr="00CF6587">
              <w:rPr>
                <w:rFonts w:cstheme="minorHAnsi"/>
                <w:sz w:val="20"/>
                <w:szCs w:val="20"/>
                <w:rtl/>
              </w:rPr>
              <w:t xml:space="preserve">  עלתה בשנת 2023 בכ-25 מיליארד דולר (5%), עם זאת, היקף ההשקעות נטו של תושבי חוץ במשק היה נמוך השנה במידה ניכרת (ב-35%) מהממוצע השנתי בעשר השנים האחרונות.</w:t>
            </w:r>
          </w:p>
          <w:p w:rsidR="00FA75FC" w:rsidRPr="00CF6587" w:rsidRDefault="00FA75FC" w:rsidP="00FA75FC">
            <w:pPr>
              <w:pStyle w:val="a3"/>
              <w:spacing w:line="276" w:lineRule="auto"/>
              <w:jc w:val="both"/>
              <w:rPr>
                <w:rFonts w:cstheme="minorHAnsi"/>
                <w:sz w:val="20"/>
                <w:szCs w:val="20"/>
              </w:rPr>
            </w:pPr>
          </w:p>
          <w:p w:rsidR="00FA75FC" w:rsidRPr="00CF6587" w:rsidRDefault="00FA75FC" w:rsidP="00FA75FC">
            <w:pPr>
              <w:pStyle w:val="a3"/>
              <w:spacing w:line="276" w:lineRule="auto"/>
              <w:jc w:val="both"/>
              <w:rPr>
                <w:rFonts w:cstheme="minorHAnsi"/>
                <w:sz w:val="20"/>
                <w:szCs w:val="20"/>
              </w:rPr>
            </w:pPr>
          </w:p>
          <w:p w:rsidR="00FA75FC" w:rsidRPr="00CF6587" w:rsidRDefault="00FA75FC" w:rsidP="00FA75FC">
            <w:pPr>
              <w:pStyle w:val="a3"/>
              <w:spacing w:line="276" w:lineRule="auto"/>
              <w:jc w:val="both"/>
              <w:rPr>
                <w:rFonts w:cstheme="minorHAnsi"/>
                <w:sz w:val="20"/>
                <w:szCs w:val="20"/>
              </w:rPr>
            </w:pPr>
          </w:p>
          <w:p w:rsidR="00FA75FC" w:rsidRPr="00CF6587" w:rsidRDefault="00FA75FC" w:rsidP="00FA75FC">
            <w:pPr>
              <w:pStyle w:val="a3"/>
              <w:spacing w:line="276" w:lineRule="auto"/>
              <w:jc w:val="both"/>
              <w:rPr>
                <w:rFonts w:cstheme="minorHAnsi"/>
                <w:sz w:val="20"/>
                <w:szCs w:val="20"/>
              </w:rPr>
            </w:pPr>
          </w:p>
          <w:p w:rsidR="00FF314C" w:rsidRPr="00CF6587" w:rsidRDefault="00FA75FC" w:rsidP="00FF314C">
            <w:pPr>
              <w:pStyle w:val="a3"/>
              <w:spacing w:line="276" w:lineRule="auto"/>
              <w:jc w:val="both"/>
              <w:rPr>
                <w:rFonts w:cstheme="minorHAnsi"/>
                <w:sz w:val="20"/>
                <w:szCs w:val="20"/>
              </w:rPr>
            </w:pPr>
            <w:r w:rsidRPr="00CF6587">
              <w:rPr>
                <w:rFonts w:cstheme="minorHAnsi"/>
                <w:sz w:val="20"/>
                <w:szCs w:val="20"/>
                <w:rtl/>
              </w:rPr>
              <w:t xml:space="preserve"> </w:t>
            </w:r>
          </w:p>
          <w:p w:rsidR="00FF314C" w:rsidRPr="00CF6587" w:rsidRDefault="00FF314C" w:rsidP="00FF314C">
            <w:pPr>
              <w:ind w:left="360"/>
              <w:jc w:val="both"/>
              <w:rPr>
                <w:rFonts w:cstheme="minorHAnsi"/>
                <w:sz w:val="20"/>
                <w:szCs w:val="20"/>
              </w:rPr>
            </w:pPr>
          </w:p>
          <w:p w:rsidR="001875A7" w:rsidRPr="00CF6587" w:rsidRDefault="001875A7" w:rsidP="00EB7C4C">
            <w:pPr>
              <w:pStyle w:val="a3"/>
              <w:spacing w:line="276" w:lineRule="auto"/>
              <w:jc w:val="both"/>
              <w:rPr>
                <w:rFonts w:cstheme="minorHAnsi"/>
                <w:sz w:val="20"/>
                <w:szCs w:val="20"/>
              </w:rPr>
            </w:pPr>
          </w:p>
          <w:p w:rsidR="00EB7C4C" w:rsidRPr="00CF6587" w:rsidRDefault="00EB7C4C" w:rsidP="00EB7C4C">
            <w:pPr>
              <w:pStyle w:val="a3"/>
              <w:numPr>
                <w:ilvl w:val="0"/>
                <w:numId w:val="31"/>
              </w:numPr>
              <w:spacing w:line="276" w:lineRule="auto"/>
              <w:jc w:val="both"/>
              <w:rPr>
                <w:rFonts w:cstheme="minorHAnsi"/>
                <w:sz w:val="20"/>
                <w:szCs w:val="20"/>
                <w:rtl/>
              </w:rPr>
            </w:pPr>
            <w:r w:rsidRPr="00CF6587">
              <w:rPr>
                <w:rFonts w:cstheme="minorHAnsi"/>
                <w:sz w:val="20"/>
                <w:szCs w:val="20"/>
                <w:rtl/>
              </w:rPr>
              <w:t>גם היקף ההשקעות נטו של תושבי ישראל בחו"ל היה השנה נמוך משמעותית (בכ-45%) מהממוצע השנתי בשלוש השנים האחרונות (62 מיליארדי דולרים), אך דומה לממוצע השנתי בעשר השנים האחרונות (36 מיליארדי דולרים)</w:t>
            </w:r>
            <w:r w:rsidRPr="00CF6587">
              <w:rPr>
                <w:rFonts w:cstheme="minorHAnsi"/>
                <w:sz w:val="20"/>
                <w:szCs w:val="20"/>
              </w:rPr>
              <w:t xml:space="preserve"> </w:t>
            </w:r>
          </w:p>
          <w:p w:rsidR="00FA75FC" w:rsidRPr="00CF6587" w:rsidRDefault="00FA75FC" w:rsidP="00FA75FC">
            <w:pPr>
              <w:pStyle w:val="a3"/>
              <w:numPr>
                <w:ilvl w:val="0"/>
                <w:numId w:val="31"/>
              </w:numPr>
              <w:spacing w:line="276" w:lineRule="auto"/>
              <w:jc w:val="both"/>
              <w:rPr>
                <w:rFonts w:cstheme="minorHAnsi"/>
                <w:sz w:val="20"/>
                <w:szCs w:val="20"/>
              </w:rPr>
            </w:pPr>
            <w:r w:rsidRPr="00CF6587">
              <w:rPr>
                <w:rFonts w:cstheme="minorHAnsi"/>
                <w:sz w:val="20"/>
                <w:szCs w:val="20"/>
                <w:rtl/>
              </w:rPr>
              <w:lastRenderedPageBreak/>
              <w:t>יתרת הנכסים של המשק בחו"ל</w:t>
            </w:r>
            <w:r w:rsidRPr="00CF6587">
              <w:rPr>
                <w:rStyle w:val="af2"/>
                <w:rFonts w:cstheme="minorHAnsi"/>
                <w:sz w:val="20"/>
                <w:szCs w:val="20"/>
                <w:rtl/>
              </w:rPr>
              <w:footnoteReference w:id="2"/>
            </w:r>
            <w:r w:rsidR="000E5B5B" w:rsidRPr="00CF6587">
              <w:rPr>
                <w:rFonts w:cstheme="minorHAnsi"/>
                <w:sz w:val="20"/>
                <w:szCs w:val="20"/>
                <w:rtl/>
              </w:rPr>
              <w:t xml:space="preserve"> עלתה בכ-73 מיליארד דולר (12%).</w:t>
            </w:r>
          </w:p>
          <w:p w:rsidR="003B2848" w:rsidRPr="00CF6587" w:rsidRDefault="003B2848" w:rsidP="00A54EE9">
            <w:pPr>
              <w:pStyle w:val="a3"/>
              <w:spacing w:after="180"/>
              <w:ind w:left="360"/>
              <w:jc w:val="both"/>
              <w:rPr>
                <w:rFonts w:cstheme="minorHAnsi"/>
                <w:sz w:val="24"/>
                <w:szCs w:val="24"/>
                <w:rtl/>
              </w:rPr>
            </w:pPr>
          </w:p>
          <w:p w:rsidR="003B2848" w:rsidRPr="00CF6587" w:rsidRDefault="003B2848" w:rsidP="00A54EE9">
            <w:pPr>
              <w:spacing w:line="360" w:lineRule="auto"/>
              <w:jc w:val="both"/>
              <w:rPr>
                <w:rFonts w:cstheme="minorHAnsi"/>
                <w:sz w:val="24"/>
                <w:szCs w:val="24"/>
                <w:rtl/>
              </w:rPr>
            </w:pPr>
          </w:p>
          <w:p w:rsidR="003B2848" w:rsidRPr="00CF6587" w:rsidRDefault="003B2848" w:rsidP="00A54EE9">
            <w:pPr>
              <w:pStyle w:val="a3"/>
              <w:spacing w:line="360" w:lineRule="auto"/>
              <w:ind w:left="360"/>
              <w:jc w:val="both"/>
              <w:rPr>
                <w:rFonts w:cstheme="minorHAnsi"/>
                <w:sz w:val="24"/>
                <w:szCs w:val="24"/>
                <w:rtl/>
              </w:rPr>
            </w:pPr>
          </w:p>
        </w:tc>
        <w:tc>
          <w:tcPr>
            <w:tcW w:w="4540" w:type="dxa"/>
          </w:tcPr>
          <w:p w:rsidR="00FF314C" w:rsidRPr="00CF6587" w:rsidRDefault="001875A7" w:rsidP="00FF314C">
            <w:pPr>
              <w:jc w:val="both"/>
              <w:rPr>
                <w:rFonts w:cstheme="minorHAnsi"/>
                <w:noProof/>
                <w:sz w:val="21"/>
                <w:szCs w:val="21"/>
                <w:rtl/>
              </w:rPr>
            </w:pPr>
            <w:r w:rsidRPr="00CF6587">
              <w:rPr>
                <w:rFonts w:cstheme="minorHAnsi"/>
                <w:b/>
                <w:bCs/>
                <w:noProof/>
                <w:sz w:val="21"/>
                <w:szCs w:val="21"/>
                <w:rtl/>
              </w:rPr>
              <w:lastRenderedPageBreak/>
              <w:t>השקעות נטו של תושבי חוץ בישראל, לפי סוג השקעה</w:t>
            </w:r>
            <w:r w:rsidR="00FF314C" w:rsidRPr="00CF6587">
              <w:rPr>
                <w:rFonts w:cstheme="minorHAnsi"/>
                <w:noProof/>
                <w:sz w:val="21"/>
                <w:szCs w:val="21"/>
                <w:rtl/>
              </w:rPr>
              <w:t xml:space="preserve"> </w:t>
            </w:r>
          </w:p>
          <w:p w:rsidR="00FF314C" w:rsidRPr="00CF6587" w:rsidRDefault="00FF314C" w:rsidP="00FF314C">
            <w:pPr>
              <w:jc w:val="both"/>
              <w:rPr>
                <w:rFonts w:cstheme="minorHAnsi"/>
                <w:b/>
                <w:bCs/>
                <w:noProof/>
                <w:sz w:val="21"/>
                <w:szCs w:val="21"/>
                <w:rtl/>
              </w:rPr>
            </w:pPr>
            <w:r w:rsidRPr="00CF6587">
              <w:rPr>
                <w:rFonts w:cstheme="minorHAnsi"/>
                <w:noProof/>
                <w:sz w:val="21"/>
                <w:szCs w:val="21"/>
                <w:rtl/>
              </w:rPr>
              <w:t>מיליארדי דולר</w:t>
            </w:r>
            <w:r w:rsidRPr="00CF6587">
              <w:rPr>
                <w:rFonts w:cstheme="minorHAnsi"/>
                <w:b/>
                <w:bCs/>
                <w:noProof/>
                <w:sz w:val="21"/>
                <w:szCs w:val="21"/>
                <w:rtl/>
              </w:rPr>
              <w:t xml:space="preserve">  </w:t>
            </w:r>
          </w:p>
          <w:p w:rsidR="00FF314C" w:rsidRPr="00CF6587" w:rsidRDefault="00FF314C" w:rsidP="00FF314C">
            <w:pPr>
              <w:jc w:val="both"/>
              <w:rPr>
                <w:rFonts w:cstheme="minorHAnsi"/>
                <w:b/>
                <w:bCs/>
                <w:noProof/>
                <w:sz w:val="21"/>
                <w:szCs w:val="21"/>
                <w:rtl/>
              </w:rPr>
            </w:pPr>
          </w:p>
          <w:p w:rsidR="00FF314C" w:rsidRPr="00CF6587" w:rsidRDefault="001875A7" w:rsidP="00FF314C">
            <w:pPr>
              <w:jc w:val="both"/>
              <w:rPr>
                <w:rFonts w:cstheme="minorHAnsi"/>
                <w:b/>
                <w:bCs/>
                <w:noProof/>
                <w:sz w:val="21"/>
                <w:szCs w:val="21"/>
                <w:rtl/>
              </w:rPr>
            </w:pPr>
            <w:r w:rsidRPr="00CF6587">
              <w:rPr>
                <w:rFonts w:cstheme="minorHAnsi"/>
                <w:b/>
                <w:bCs/>
                <w:noProof/>
                <w:sz w:val="21"/>
                <w:szCs w:val="21"/>
              </w:rPr>
              <w:drawing>
                <wp:inline distT="0" distB="0" distL="0" distR="0" wp14:anchorId="6D95B11A">
                  <wp:extent cx="2667192" cy="1576317"/>
                  <wp:effectExtent l="0" t="0" r="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8770" cy="1606800"/>
                          </a:xfrm>
                          <a:prstGeom prst="rect">
                            <a:avLst/>
                          </a:prstGeom>
                          <a:noFill/>
                        </pic:spPr>
                      </pic:pic>
                    </a:graphicData>
                  </a:graphic>
                </wp:inline>
              </w:drawing>
            </w:r>
          </w:p>
          <w:p w:rsidR="000E5B5B" w:rsidRPr="00CF6587" w:rsidRDefault="000E5B5B" w:rsidP="000E5B5B">
            <w:pPr>
              <w:spacing w:after="180"/>
              <w:ind w:right="-113"/>
              <w:rPr>
                <w:rFonts w:eastAsiaTheme="majorEastAsia" w:cstheme="minorHAnsi"/>
                <w:noProof/>
                <w:sz w:val="21"/>
                <w:szCs w:val="21"/>
                <w:rtl/>
              </w:rPr>
            </w:pPr>
            <w:r w:rsidRPr="00CF6587">
              <w:rPr>
                <w:rFonts w:eastAsiaTheme="majorEastAsia" w:cstheme="minorHAnsi"/>
                <w:sz w:val="16"/>
                <w:szCs w:val="16"/>
                <w:rtl/>
              </w:rPr>
              <w:t>המקור: דיווחים לבנק ישראל, ועיבודי החטיבה למידע ולסטטיסטיקה</w:t>
            </w:r>
          </w:p>
          <w:p w:rsidR="00FF314C" w:rsidRPr="00CF6587" w:rsidRDefault="00FF314C" w:rsidP="00FF314C">
            <w:pPr>
              <w:jc w:val="both"/>
              <w:rPr>
                <w:rFonts w:cstheme="minorHAnsi"/>
                <w:b/>
                <w:bCs/>
                <w:noProof/>
                <w:sz w:val="21"/>
                <w:szCs w:val="21"/>
                <w:rtl/>
              </w:rPr>
            </w:pPr>
          </w:p>
          <w:p w:rsidR="00FF314C" w:rsidRPr="00CF6587" w:rsidRDefault="00FF314C" w:rsidP="00FF314C">
            <w:pPr>
              <w:jc w:val="both"/>
              <w:rPr>
                <w:rFonts w:cstheme="minorHAnsi"/>
                <w:b/>
                <w:bCs/>
                <w:noProof/>
                <w:sz w:val="21"/>
                <w:szCs w:val="21"/>
                <w:rtl/>
              </w:rPr>
            </w:pPr>
            <w:r w:rsidRPr="00CF6587">
              <w:rPr>
                <w:rFonts w:cstheme="minorHAnsi"/>
                <w:b/>
                <w:bCs/>
                <w:noProof/>
                <w:sz w:val="21"/>
                <w:szCs w:val="21"/>
                <w:rtl/>
              </w:rPr>
              <w:t>הגורמים לשינוי ביתרת הנכסים של המשק בחו"ל</w:t>
            </w:r>
          </w:p>
          <w:p w:rsidR="00FF314C" w:rsidRPr="00CF6587" w:rsidRDefault="00FF314C" w:rsidP="00FF314C">
            <w:pPr>
              <w:jc w:val="both"/>
              <w:rPr>
                <w:rFonts w:cstheme="minorHAnsi"/>
                <w:b/>
                <w:bCs/>
                <w:noProof/>
                <w:sz w:val="21"/>
                <w:szCs w:val="21"/>
                <w:rtl/>
              </w:rPr>
            </w:pPr>
            <w:r w:rsidRPr="00CF6587">
              <w:rPr>
                <w:rFonts w:cstheme="minorHAnsi"/>
                <w:noProof/>
                <w:sz w:val="21"/>
                <w:szCs w:val="21"/>
                <w:rtl/>
              </w:rPr>
              <w:t>מיליארדי דולר</w:t>
            </w:r>
          </w:p>
          <w:p w:rsidR="003B2848" w:rsidRPr="00CF6587" w:rsidRDefault="003B2848" w:rsidP="00FF314C">
            <w:pPr>
              <w:pStyle w:val="a3"/>
              <w:spacing w:after="120"/>
              <w:ind w:left="0"/>
              <w:jc w:val="both"/>
              <w:rPr>
                <w:rFonts w:cstheme="minorHAnsi"/>
                <w:b/>
                <w:bCs/>
                <w:sz w:val="24"/>
                <w:szCs w:val="24"/>
                <w:rtl/>
              </w:rPr>
            </w:pPr>
          </w:p>
          <w:p w:rsidR="000E5B5B" w:rsidRPr="00CF6587" w:rsidRDefault="000E5B5B" w:rsidP="00FF314C">
            <w:pPr>
              <w:pStyle w:val="a3"/>
              <w:spacing w:after="120"/>
              <w:ind w:left="0"/>
              <w:jc w:val="both"/>
              <w:rPr>
                <w:rFonts w:cstheme="minorHAnsi"/>
                <w:b/>
                <w:bCs/>
                <w:sz w:val="24"/>
                <w:szCs w:val="24"/>
                <w:rtl/>
              </w:rPr>
            </w:pPr>
            <w:r w:rsidRPr="00CF6587">
              <w:rPr>
                <w:rFonts w:cstheme="minorHAnsi"/>
                <w:noProof/>
              </w:rPr>
              <w:lastRenderedPageBreak/>
              <w:drawing>
                <wp:inline distT="0" distB="0" distL="0" distR="0" wp14:anchorId="14A5A48E" wp14:editId="5075043E">
                  <wp:extent cx="2745740" cy="177355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740" cy="1773555"/>
                          </a:xfrm>
                          <a:prstGeom prst="rect">
                            <a:avLst/>
                          </a:prstGeom>
                        </pic:spPr>
                      </pic:pic>
                    </a:graphicData>
                  </a:graphic>
                </wp:inline>
              </w:drawing>
            </w:r>
          </w:p>
        </w:tc>
      </w:tr>
      <w:tr w:rsidR="003B2848" w:rsidRPr="00CF6587" w:rsidTr="00A45B71">
        <w:trPr>
          <w:trHeight w:val="3403"/>
        </w:trPr>
        <w:tc>
          <w:tcPr>
            <w:tcW w:w="4252" w:type="dxa"/>
          </w:tcPr>
          <w:p w:rsidR="00C5044F" w:rsidRPr="00CF6587" w:rsidRDefault="00C5044F" w:rsidP="00FF314C">
            <w:pPr>
              <w:spacing w:line="360" w:lineRule="auto"/>
              <w:jc w:val="both"/>
              <w:rPr>
                <w:rFonts w:cstheme="minorHAnsi"/>
                <w:sz w:val="24"/>
                <w:szCs w:val="24"/>
                <w:rtl/>
              </w:rPr>
            </w:pPr>
          </w:p>
        </w:tc>
        <w:tc>
          <w:tcPr>
            <w:tcW w:w="4540" w:type="dxa"/>
          </w:tcPr>
          <w:p w:rsidR="00E77671" w:rsidRPr="00CF6587" w:rsidRDefault="00E77671" w:rsidP="0083643A">
            <w:pPr>
              <w:jc w:val="both"/>
              <w:rPr>
                <w:rFonts w:cstheme="minorHAnsi"/>
                <w:b/>
                <w:bCs/>
                <w:noProof/>
                <w:sz w:val="21"/>
                <w:szCs w:val="21"/>
                <w:rtl/>
              </w:rPr>
            </w:pPr>
          </w:p>
        </w:tc>
      </w:tr>
    </w:tbl>
    <w:tbl>
      <w:tblPr>
        <w:tblStyle w:val="aa"/>
        <w:tblpPr w:leftFromText="181" w:rightFromText="181" w:vertAnchor="page" w:horzAnchor="margin" w:tblpYSpec="top"/>
        <w:bidiVisual/>
        <w:tblW w:w="8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8"/>
        <w:gridCol w:w="4532"/>
      </w:tblGrid>
      <w:tr w:rsidR="00855288" w:rsidRPr="00CF6587" w:rsidTr="00911363">
        <w:trPr>
          <w:trHeight w:val="364"/>
        </w:trPr>
        <w:tc>
          <w:tcPr>
            <w:tcW w:w="8840" w:type="dxa"/>
            <w:gridSpan w:val="2"/>
          </w:tcPr>
          <w:p w:rsidR="00911363" w:rsidRPr="00CF6587" w:rsidRDefault="00855288" w:rsidP="00911363">
            <w:pPr>
              <w:spacing w:line="360" w:lineRule="auto"/>
              <w:jc w:val="both"/>
              <w:rPr>
                <w:rFonts w:cstheme="minorHAnsi"/>
                <w:b/>
                <w:bCs/>
                <w:sz w:val="24"/>
                <w:szCs w:val="24"/>
                <w:rtl/>
              </w:rPr>
            </w:pPr>
            <w:r w:rsidRPr="00CF6587">
              <w:rPr>
                <w:rFonts w:cstheme="minorHAnsi"/>
                <w:b/>
                <w:bCs/>
                <w:sz w:val="24"/>
                <w:szCs w:val="24"/>
                <w:rtl/>
              </w:rPr>
              <w:br w:type="page"/>
            </w:r>
          </w:p>
          <w:p w:rsidR="00855288" w:rsidRPr="00CF6587" w:rsidRDefault="00855288" w:rsidP="00911363">
            <w:pPr>
              <w:spacing w:line="360" w:lineRule="auto"/>
              <w:jc w:val="both"/>
              <w:rPr>
                <w:rFonts w:cstheme="minorHAnsi"/>
                <w:b/>
                <w:bCs/>
                <w:sz w:val="24"/>
                <w:szCs w:val="24"/>
                <w:rtl/>
              </w:rPr>
            </w:pPr>
            <w:r w:rsidRPr="00CF6587">
              <w:rPr>
                <w:rFonts w:cstheme="minorHAnsi"/>
                <w:b/>
                <w:bCs/>
                <w:sz w:val="24"/>
                <w:szCs w:val="24"/>
                <w:rtl/>
              </w:rPr>
              <w:t>פעילות המגזרים העיקריים במטבע חוץ</w:t>
            </w:r>
          </w:p>
        </w:tc>
      </w:tr>
      <w:tr w:rsidR="00855288" w:rsidRPr="00CF6587" w:rsidTr="00911363">
        <w:trPr>
          <w:trHeight w:val="364"/>
        </w:trPr>
        <w:tc>
          <w:tcPr>
            <w:tcW w:w="8840" w:type="dxa"/>
            <w:gridSpan w:val="2"/>
            <w:vAlign w:val="center"/>
          </w:tcPr>
          <w:p w:rsidR="00855288" w:rsidRDefault="00855288" w:rsidP="00440316">
            <w:pPr>
              <w:spacing w:after="120"/>
              <w:ind w:right="-112"/>
              <w:rPr>
                <w:rFonts w:cstheme="minorHAnsi"/>
                <w:rtl/>
              </w:rPr>
            </w:pPr>
          </w:p>
          <w:p w:rsidR="00440316" w:rsidRPr="00CF6587" w:rsidRDefault="00440316" w:rsidP="00440316">
            <w:pPr>
              <w:spacing w:after="120"/>
              <w:ind w:right="-112"/>
              <w:rPr>
                <w:rFonts w:cstheme="minorHAnsi"/>
                <w:rtl/>
              </w:rPr>
            </w:pPr>
          </w:p>
        </w:tc>
      </w:tr>
      <w:tr w:rsidR="00855288" w:rsidRPr="00CF6587" w:rsidTr="00911363">
        <w:trPr>
          <w:trHeight w:val="3874"/>
        </w:trPr>
        <w:tc>
          <w:tcPr>
            <w:tcW w:w="4308" w:type="dxa"/>
            <w:vAlign w:val="center"/>
          </w:tcPr>
          <w:p w:rsidR="00855288" w:rsidRPr="00CF6587" w:rsidRDefault="00855288" w:rsidP="00440316">
            <w:pPr>
              <w:pStyle w:val="a3"/>
              <w:numPr>
                <w:ilvl w:val="0"/>
                <w:numId w:val="32"/>
              </w:numPr>
              <w:spacing w:after="120" w:line="360" w:lineRule="auto"/>
              <w:rPr>
                <w:rFonts w:cstheme="minorHAnsi"/>
                <w:sz w:val="21"/>
                <w:szCs w:val="21"/>
                <w:rtl/>
              </w:rPr>
            </w:pPr>
            <w:r w:rsidRPr="00CF6587">
              <w:rPr>
                <w:rFonts w:cstheme="minorHAnsi"/>
                <w:sz w:val="21"/>
                <w:szCs w:val="21"/>
                <w:rtl/>
              </w:rPr>
              <w:t xml:space="preserve">בשנת 2023 השקל נחלש מול הדולר  בכ-3%, בהמשך להיחלשות של כ- 13% אשתקד. השנה התאפיינה בתנודתיות גבוהה ובעלייה בפרמיית הסיכון של המדינה,  על רקע האירועים המקומיים החריגים. </w:t>
            </w:r>
          </w:p>
          <w:p w:rsidR="00855288" w:rsidRPr="00CF6587" w:rsidRDefault="00855288" w:rsidP="00440316">
            <w:pPr>
              <w:pStyle w:val="a3"/>
              <w:numPr>
                <w:ilvl w:val="0"/>
                <w:numId w:val="32"/>
              </w:numPr>
              <w:spacing w:after="120" w:line="360" w:lineRule="auto"/>
              <w:rPr>
                <w:rFonts w:cstheme="minorHAnsi"/>
                <w:sz w:val="21"/>
                <w:szCs w:val="21"/>
                <w:rtl/>
              </w:rPr>
            </w:pPr>
            <w:r w:rsidRPr="00CF6587">
              <w:rPr>
                <w:rFonts w:cstheme="minorHAnsi"/>
                <w:sz w:val="21"/>
                <w:szCs w:val="21"/>
                <w:rtl/>
              </w:rPr>
              <w:t xml:space="preserve">בפעילות המגזרים העיקריים בשוק </w:t>
            </w:r>
            <w:proofErr w:type="spellStart"/>
            <w:r w:rsidRPr="00CF6587">
              <w:rPr>
                <w:rFonts w:cstheme="minorHAnsi"/>
                <w:sz w:val="21"/>
                <w:szCs w:val="21"/>
                <w:rtl/>
              </w:rPr>
              <w:t>המט"ח</w:t>
            </w:r>
            <w:proofErr w:type="spellEnd"/>
            <w:r w:rsidRPr="00CF6587">
              <w:rPr>
                <w:rFonts w:cstheme="minorHAnsi"/>
                <w:sz w:val="21"/>
                <w:szCs w:val="21"/>
                <w:rtl/>
              </w:rPr>
              <w:t>, הגדילו הגופים המוסדיים את שיעור חשיפתם למט"ח ורכשו בשנת 2023 מט"ח בהיקף ניכר, גם על רקע העליות במחירי המניות בעולם.</w:t>
            </w:r>
          </w:p>
          <w:p w:rsidR="00855288" w:rsidRPr="00CF6587" w:rsidRDefault="00855288" w:rsidP="00440316">
            <w:pPr>
              <w:pStyle w:val="a3"/>
              <w:numPr>
                <w:ilvl w:val="0"/>
                <w:numId w:val="32"/>
              </w:numPr>
              <w:spacing w:after="120" w:line="360" w:lineRule="auto"/>
              <w:rPr>
                <w:rFonts w:cstheme="minorHAnsi"/>
                <w:sz w:val="21"/>
                <w:szCs w:val="21"/>
                <w:rtl/>
              </w:rPr>
            </w:pPr>
            <w:r w:rsidRPr="00CF6587">
              <w:rPr>
                <w:rFonts w:cstheme="minorHAnsi"/>
                <w:sz w:val="21"/>
                <w:szCs w:val="21"/>
                <w:rtl/>
              </w:rPr>
              <w:t>מנגד, תושבי חוץ המשיכו גם בשנת 2023 למכור מט"ח נטו בהיקפים גדולים והגדילו את חשיפתם לשקל.</w:t>
            </w:r>
          </w:p>
          <w:p w:rsidR="00855288" w:rsidRPr="00CF6587" w:rsidRDefault="00855288" w:rsidP="00440316">
            <w:pPr>
              <w:pStyle w:val="a3"/>
              <w:numPr>
                <w:ilvl w:val="0"/>
                <w:numId w:val="32"/>
              </w:numPr>
              <w:spacing w:after="120" w:line="360" w:lineRule="auto"/>
              <w:ind w:right="-112"/>
              <w:rPr>
                <w:rFonts w:cstheme="minorHAnsi"/>
                <w:rtl/>
              </w:rPr>
            </w:pPr>
            <w:r w:rsidRPr="00CF6587">
              <w:rPr>
                <w:rFonts w:cstheme="minorHAnsi"/>
                <w:sz w:val="21"/>
                <w:szCs w:val="21"/>
                <w:rtl/>
              </w:rPr>
              <w:t>עם פרוץ המלחמה הכריז בנק ישראל על תכנית למכירת מט"ח בהיקף של עד 30 מיליארד דולר  ומכר במהלכה לראשונה מט"ח בהיקף של 8.5 מיליארד דולר.</w:t>
            </w:r>
            <w:r w:rsidRPr="00CF6587">
              <w:rPr>
                <w:rFonts w:cstheme="minorHAnsi"/>
                <w:rtl/>
              </w:rPr>
              <w:t xml:space="preserve"> </w:t>
            </w:r>
          </w:p>
        </w:tc>
        <w:tc>
          <w:tcPr>
            <w:tcW w:w="4532" w:type="dxa"/>
          </w:tcPr>
          <w:p w:rsidR="00855288" w:rsidRPr="00CF6587" w:rsidRDefault="00855288" w:rsidP="00440316">
            <w:pPr>
              <w:pStyle w:val="a3"/>
              <w:ind w:left="0"/>
              <w:rPr>
                <w:rFonts w:cstheme="minorHAnsi"/>
                <w:sz w:val="21"/>
                <w:szCs w:val="21"/>
                <w:rtl/>
              </w:rPr>
            </w:pPr>
            <w:r w:rsidRPr="00CF6587">
              <w:rPr>
                <w:rFonts w:cstheme="minorHAnsi"/>
                <w:b/>
                <w:bCs/>
                <w:sz w:val="24"/>
                <w:szCs w:val="24"/>
                <w:rtl/>
              </w:rPr>
              <w:t xml:space="preserve">אומדן רכישות מטבע החוץ (+) המצטברות נטו של המגזרים העיקריים, </w:t>
            </w:r>
            <w:r w:rsidRPr="00CF6587">
              <w:rPr>
                <w:rFonts w:cstheme="minorHAnsi"/>
                <w:sz w:val="24"/>
                <w:szCs w:val="24"/>
                <w:rtl/>
              </w:rPr>
              <w:t>מיליארדי דולרים</w:t>
            </w:r>
          </w:p>
          <w:p w:rsidR="00855288" w:rsidRPr="00CF6587" w:rsidRDefault="00855288" w:rsidP="00440316">
            <w:pPr>
              <w:pStyle w:val="a3"/>
              <w:spacing w:line="360" w:lineRule="auto"/>
              <w:ind w:left="0"/>
              <w:rPr>
                <w:rFonts w:cstheme="minorHAnsi"/>
                <w:b/>
                <w:bCs/>
                <w:sz w:val="24"/>
                <w:szCs w:val="24"/>
                <w:rtl/>
              </w:rPr>
            </w:pPr>
            <w:r w:rsidRPr="00CF6587">
              <w:rPr>
                <w:rFonts w:cstheme="minorHAnsi"/>
                <w:noProof/>
              </w:rPr>
              <w:drawing>
                <wp:inline distT="0" distB="0" distL="0" distR="0" wp14:anchorId="2EA8C3DA" wp14:editId="1B6E5FA2">
                  <wp:extent cx="2740660" cy="1630045"/>
                  <wp:effectExtent l="0" t="0" r="2540" b="825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0660" cy="1630045"/>
                          </a:xfrm>
                          <a:prstGeom prst="rect">
                            <a:avLst/>
                          </a:prstGeom>
                        </pic:spPr>
                      </pic:pic>
                    </a:graphicData>
                  </a:graphic>
                </wp:inline>
              </w:drawing>
            </w:r>
          </w:p>
          <w:p w:rsidR="00855288" w:rsidRPr="00CF6587" w:rsidRDefault="00855288" w:rsidP="00440316">
            <w:pPr>
              <w:pStyle w:val="a3"/>
              <w:spacing w:line="276" w:lineRule="auto"/>
              <w:ind w:left="0"/>
              <w:rPr>
                <w:rFonts w:cstheme="minorHAnsi"/>
                <w:b/>
                <w:bCs/>
                <w:sz w:val="24"/>
                <w:szCs w:val="24"/>
                <w:rtl/>
              </w:rPr>
            </w:pPr>
            <w:r w:rsidRPr="00CF6587">
              <w:rPr>
                <w:rFonts w:eastAsiaTheme="majorEastAsia" w:cstheme="minorHAnsi"/>
                <w:sz w:val="16"/>
                <w:szCs w:val="16"/>
                <w:rtl/>
              </w:rPr>
              <w:t>המקור: דיווחים לבנק ישראל מהמוסדות הפיננסיים ומחברות עסקיות, ועיבודי בנק ישראל.</w:t>
            </w:r>
          </w:p>
        </w:tc>
      </w:tr>
    </w:tbl>
    <w:p w:rsidR="00C5044F" w:rsidRPr="00CF6587" w:rsidRDefault="00C5044F" w:rsidP="009C66C0">
      <w:pPr>
        <w:spacing w:line="360" w:lineRule="auto"/>
        <w:jc w:val="both"/>
        <w:rPr>
          <w:rFonts w:cstheme="minorHAnsi"/>
          <w:b/>
          <w:bCs/>
          <w:sz w:val="24"/>
          <w:szCs w:val="24"/>
          <w:rtl/>
        </w:rPr>
      </w:pPr>
    </w:p>
    <w:p w:rsidR="00F13238" w:rsidRPr="00CF6587" w:rsidRDefault="00F13238">
      <w:pPr>
        <w:bidi w:val="0"/>
        <w:rPr>
          <w:rFonts w:cstheme="minorHAnsi"/>
          <w:b/>
          <w:bCs/>
          <w:sz w:val="24"/>
          <w:szCs w:val="24"/>
        </w:rPr>
      </w:pPr>
      <w:r w:rsidRPr="00CF6587">
        <w:rPr>
          <w:rFonts w:cstheme="minorHAnsi"/>
          <w:b/>
          <w:bCs/>
          <w:sz w:val="24"/>
          <w:szCs w:val="24"/>
          <w:rtl/>
        </w:rPr>
        <w:br w:type="page"/>
      </w:r>
    </w:p>
    <w:p w:rsidR="00716312" w:rsidRPr="00CF6587" w:rsidRDefault="002D2EE7" w:rsidP="00EA773C">
      <w:pPr>
        <w:spacing w:line="360" w:lineRule="auto"/>
        <w:ind w:left="-58"/>
        <w:jc w:val="both"/>
        <w:rPr>
          <w:rFonts w:cstheme="minorHAnsi"/>
          <w:sz w:val="24"/>
          <w:szCs w:val="24"/>
          <w:rtl/>
        </w:rPr>
      </w:pPr>
      <w:r w:rsidRPr="00CF6587">
        <w:rPr>
          <w:rFonts w:cstheme="minorHAnsi"/>
          <w:b/>
          <w:bCs/>
          <w:sz w:val="24"/>
          <w:szCs w:val="24"/>
          <w:rtl/>
        </w:rPr>
        <w:lastRenderedPageBreak/>
        <w:t>ה</w:t>
      </w:r>
      <w:r w:rsidR="00716312" w:rsidRPr="00CF6587">
        <w:rPr>
          <w:rFonts w:cstheme="minorHAnsi"/>
          <w:b/>
          <w:bCs/>
          <w:sz w:val="24"/>
          <w:szCs w:val="24"/>
          <w:rtl/>
        </w:rPr>
        <w:t xml:space="preserve">חלק השני של </w:t>
      </w:r>
      <w:r w:rsidR="00EA773C" w:rsidRPr="00CF6587">
        <w:rPr>
          <w:rFonts w:cstheme="minorHAnsi"/>
          <w:b/>
          <w:bCs/>
          <w:sz w:val="24"/>
          <w:szCs w:val="24"/>
          <w:rtl/>
        </w:rPr>
        <w:t>"</w:t>
      </w:r>
      <w:r w:rsidR="00716312" w:rsidRPr="00CF6587">
        <w:rPr>
          <w:rFonts w:cstheme="minorHAnsi"/>
          <w:b/>
          <w:bCs/>
          <w:sz w:val="24"/>
          <w:szCs w:val="24"/>
          <w:rtl/>
        </w:rPr>
        <w:t xml:space="preserve">מבט סטטיסטי </w:t>
      </w:r>
      <w:r w:rsidR="00EA773C" w:rsidRPr="00CF6587">
        <w:rPr>
          <w:rFonts w:cstheme="minorHAnsi"/>
          <w:b/>
          <w:bCs/>
          <w:sz w:val="24"/>
          <w:szCs w:val="24"/>
          <w:rtl/>
        </w:rPr>
        <w:t>2023 "</w:t>
      </w:r>
      <w:r w:rsidRPr="00CF6587">
        <w:rPr>
          <w:rFonts w:cstheme="minorHAnsi"/>
          <w:b/>
          <w:bCs/>
          <w:sz w:val="24"/>
          <w:szCs w:val="24"/>
          <w:rtl/>
        </w:rPr>
        <w:t xml:space="preserve"> </w:t>
      </w:r>
      <w:r w:rsidRPr="00CF6587">
        <w:rPr>
          <w:rFonts w:cstheme="minorHAnsi"/>
          <w:sz w:val="24"/>
          <w:szCs w:val="24"/>
          <w:rtl/>
        </w:rPr>
        <w:t xml:space="preserve">כולל </w:t>
      </w:r>
      <w:r w:rsidR="000E5356" w:rsidRPr="00CF6587">
        <w:rPr>
          <w:rFonts w:cstheme="minorHAnsi"/>
          <w:sz w:val="24"/>
          <w:szCs w:val="24"/>
          <w:rtl/>
        </w:rPr>
        <w:t>שתי</w:t>
      </w:r>
      <w:r w:rsidRPr="00CF6587">
        <w:rPr>
          <w:rFonts w:cstheme="minorHAnsi"/>
          <w:sz w:val="24"/>
          <w:szCs w:val="24"/>
          <w:rtl/>
        </w:rPr>
        <w:t xml:space="preserve"> עבודות בתחום המתודולוגיה הסטטיסטית</w:t>
      </w:r>
      <w:r w:rsidR="00716312" w:rsidRPr="00CF6587">
        <w:rPr>
          <w:rFonts w:cstheme="minorHAnsi"/>
          <w:sz w:val="24"/>
          <w:szCs w:val="24"/>
          <w:rtl/>
        </w:rPr>
        <w:t>:</w:t>
      </w:r>
    </w:p>
    <w:p w:rsidR="00EA773C" w:rsidRPr="00CF6587" w:rsidRDefault="00EA773C" w:rsidP="00EA773C">
      <w:pPr>
        <w:pStyle w:val="a3"/>
        <w:numPr>
          <w:ilvl w:val="0"/>
          <w:numId w:val="26"/>
        </w:numPr>
        <w:spacing w:line="360" w:lineRule="auto"/>
        <w:jc w:val="both"/>
        <w:rPr>
          <w:rFonts w:cstheme="minorHAnsi"/>
          <w:b/>
          <w:bCs/>
          <w:sz w:val="24"/>
          <w:szCs w:val="24"/>
        </w:rPr>
      </w:pPr>
      <w:r w:rsidRPr="00CF6587">
        <w:rPr>
          <w:rFonts w:cstheme="minorHAnsi"/>
          <w:b/>
          <w:bCs/>
          <w:sz w:val="24"/>
          <w:szCs w:val="24"/>
          <w:rtl/>
        </w:rPr>
        <w:t>ניכוי עונתיות בסדרות כלכליות בתדירות שבועית</w:t>
      </w:r>
    </w:p>
    <w:p w:rsidR="00EA773C" w:rsidRPr="00CF6587" w:rsidRDefault="00EA773C" w:rsidP="00EA773C">
      <w:pPr>
        <w:pStyle w:val="a3"/>
        <w:spacing w:line="360" w:lineRule="auto"/>
        <w:jc w:val="both"/>
        <w:rPr>
          <w:rFonts w:eastAsiaTheme="minorEastAsia" w:cstheme="minorHAnsi"/>
          <w:i/>
          <w:sz w:val="21"/>
          <w:rtl/>
          <w:lang w:val="af-ZA"/>
        </w:rPr>
      </w:pPr>
      <w:r w:rsidRPr="00CF6587">
        <w:rPr>
          <w:rFonts w:eastAsiaTheme="minorEastAsia" w:cstheme="minorHAnsi"/>
          <w:i/>
          <w:sz w:val="21"/>
          <w:rtl/>
          <w:lang w:val="af-ZA"/>
        </w:rPr>
        <w:t>בעשורים האחרונים חל גידול משמעותי במספר האינדיקטורים הכלכליים שזמינים בתדירות גבוהה. אינדיקטורים אלה עשויים להפחית מחוסר הוודאות ובכך לסייע בתהליך קבלת ההחלטות עבור קובעי המדיניות, במיוחד בתקופות של שינויים מהירים הדורשים קבלת החלטות במצב של אי-ודאות מוגברת. כדי להסיק על מהות השינוי בנתונים אלה נדרש תחילה לבצע ניכוי עונתיות. ניכוי עונתיות בנתונים בתדירות גבוהה מאתגר יותר, בשל המאפיינים הייחודיים שלא מאפשרים את יישומן של שיטות סטנדרטיות שמקובלות בלשכות הסטטיסטיות ברחבי העולם, כגון X-13 ARIMA. נייר זה מציג עבודה שנעשתה בבנק ישראל של פיתוח מתודולוגיה וכלים סטטיסטיים לניכוי עונתיות בנתונים בתדירות שבועית. פיתוח זה מודגם על אינדיקטורים לפעילות כלכלית ריאלית ולשוק העבודה בישראל.</w:t>
      </w:r>
    </w:p>
    <w:p w:rsidR="006A78B4" w:rsidRPr="00CF6587" w:rsidRDefault="006A78B4" w:rsidP="006A78B4">
      <w:pPr>
        <w:pStyle w:val="a3"/>
        <w:spacing w:line="360" w:lineRule="auto"/>
        <w:jc w:val="both"/>
        <w:rPr>
          <w:rFonts w:cstheme="minorHAnsi"/>
          <w:b/>
          <w:bCs/>
          <w:color w:val="FF0000"/>
          <w:sz w:val="24"/>
          <w:szCs w:val="24"/>
          <w:rtl/>
        </w:rPr>
      </w:pPr>
    </w:p>
    <w:p w:rsidR="000041FE" w:rsidRPr="00CF6587" w:rsidRDefault="001875A7" w:rsidP="00395DC0">
      <w:pPr>
        <w:pStyle w:val="a3"/>
        <w:numPr>
          <w:ilvl w:val="0"/>
          <w:numId w:val="26"/>
        </w:numPr>
        <w:spacing w:line="360" w:lineRule="auto"/>
        <w:jc w:val="both"/>
        <w:rPr>
          <w:rFonts w:cstheme="minorHAnsi"/>
          <w:b/>
          <w:bCs/>
          <w:sz w:val="24"/>
          <w:szCs w:val="24"/>
        </w:rPr>
      </w:pPr>
      <w:r w:rsidRPr="00CF6587">
        <w:rPr>
          <w:rFonts w:cstheme="minorHAnsi"/>
          <w:b/>
          <w:bCs/>
          <w:sz w:val="24"/>
          <w:szCs w:val="24"/>
          <w:rtl/>
        </w:rPr>
        <w:t>נתוני אחזקות בניירות ערך</w:t>
      </w:r>
    </w:p>
    <w:p w:rsidR="001875A7" w:rsidRPr="00CF6587" w:rsidRDefault="001875A7" w:rsidP="001875A7">
      <w:pPr>
        <w:pStyle w:val="a3"/>
        <w:spacing w:line="360" w:lineRule="auto"/>
        <w:rPr>
          <w:rFonts w:cstheme="minorHAnsi"/>
          <w:i/>
          <w:sz w:val="21"/>
          <w:rtl/>
          <w:lang w:val="af-ZA"/>
        </w:rPr>
      </w:pPr>
      <w:r w:rsidRPr="00CF6587">
        <w:rPr>
          <w:rFonts w:cstheme="minorHAnsi"/>
          <w:i/>
          <w:sz w:val="21"/>
          <w:rtl/>
          <w:lang w:val="af-ZA"/>
        </w:rPr>
        <w:t xml:space="preserve">אחד הלקחים העיקריים של המשבר הפיננסי העולמי שאירע בשנת 2008 , הוא החשיבות של קבלת החלטות על בסיס ניתוח של מידע פרטני אודות המערכת הפיננסית ולא להסתפק בניתוח של מידע מצרפי. </w:t>
      </w:r>
    </w:p>
    <w:p w:rsidR="001875A7" w:rsidRPr="00CF6587" w:rsidRDefault="001875A7" w:rsidP="001875A7">
      <w:pPr>
        <w:pStyle w:val="a3"/>
        <w:spacing w:line="360" w:lineRule="auto"/>
        <w:rPr>
          <w:rFonts w:cstheme="minorHAnsi"/>
          <w:i/>
          <w:sz w:val="21"/>
          <w:rtl/>
          <w:lang w:val="af-ZA"/>
        </w:rPr>
      </w:pPr>
      <w:r w:rsidRPr="00CF6587">
        <w:rPr>
          <w:rFonts w:cstheme="minorHAnsi"/>
          <w:i/>
          <w:sz w:val="21"/>
          <w:rtl/>
          <w:lang w:val="af-ZA"/>
        </w:rPr>
        <w:t xml:space="preserve">כתוצאה מכך הקימו בנקים מרכזיים ובתוכם בנק ישראל מאגרי נתונים פיננסיים פרטניים ובכללם מאגרי נתונים על אחזקות בניירות ערך. </w:t>
      </w:r>
    </w:p>
    <w:p w:rsidR="001875A7" w:rsidRPr="00CF6587" w:rsidRDefault="001875A7" w:rsidP="001875A7">
      <w:pPr>
        <w:pStyle w:val="a3"/>
        <w:spacing w:line="360" w:lineRule="auto"/>
        <w:rPr>
          <w:rFonts w:cstheme="minorHAnsi"/>
          <w:i/>
          <w:sz w:val="21"/>
          <w:lang w:val="af-ZA"/>
        </w:rPr>
      </w:pPr>
      <w:r w:rsidRPr="00CF6587">
        <w:rPr>
          <w:rFonts w:cstheme="minorHAnsi"/>
          <w:i/>
          <w:sz w:val="21"/>
          <w:rtl/>
          <w:lang w:val="af-ZA"/>
        </w:rPr>
        <w:t xml:space="preserve">נייר זה מתאר את נתוני האחזקות בניירות ערך שמשמשים את בנק ישראל לצורך ניתוח וקבלה של החלטות מדיניות. מסד הנתונים מכיל נתונים חודשיים על האחזקות של תושבי ישראל ושל תושבי-חוץ בניירות ערך שמוחזקים באמצעות בנקים ובתי השקעות מקומיים. </w:t>
      </w:r>
    </w:p>
    <w:p w:rsidR="001875A7" w:rsidRPr="00CF6587" w:rsidRDefault="001875A7" w:rsidP="001875A7">
      <w:pPr>
        <w:pStyle w:val="a3"/>
        <w:spacing w:line="360" w:lineRule="auto"/>
        <w:rPr>
          <w:rFonts w:cstheme="minorHAnsi"/>
          <w:i/>
          <w:sz w:val="21"/>
          <w:rtl/>
          <w:lang w:val="af-ZA"/>
        </w:rPr>
      </w:pPr>
      <w:r w:rsidRPr="00CF6587">
        <w:rPr>
          <w:rFonts w:cstheme="minorHAnsi"/>
          <w:i/>
          <w:sz w:val="21"/>
          <w:rtl/>
          <w:lang w:val="af-ZA"/>
        </w:rPr>
        <w:t xml:space="preserve">נתונים אלה מאפשרים ניתוח של הפעילות הפיננסית לפי מגזרים ומכשירים עיקריים ומגוון של פילוחים מעמיקים נוספים. </w:t>
      </w:r>
    </w:p>
    <w:p w:rsidR="00DD735B" w:rsidRPr="00CF6587" w:rsidRDefault="00DD735B" w:rsidP="00DD735B">
      <w:pPr>
        <w:spacing w:line="360" w:lineRule="auto"/>
        <w:jc w:val="both"/>
        <w:rPr>
          <w:rFonts w:cstheme="minorHAnsi"/>
          <w:sz w:val="24"/>
          <w:szCs w:val="24"/>
          <w:rtl/>
        </w:rPr>
      </w:pPr>
    </w:p>
    <w:p w:rsidR="00E864DF" w:rsidRPr="00CF6587" w:rsidRDefault="00CC3C00" w:rsidP="00DD735B">
      <w:pPr>
        <w:spacing w:line="360" w:lineRule="auto"/>
        <w:jc w:val="both"/>
        <w:rPr>
          <w:rFonts w:cstheme="minorHAnsi" w:hint="cs"/>
          <w:sz w:val="24"/>
          <w:szCs w:val="24"/>
          <w:rtl/>
        </w:rPr>
      </w:pPr>
      <w:r w:rsidRPr="00CF6587">
        <w:rPr>
          <w:rFonts w:cstheme="minorHAnsi"/>
          <w:sz w:val="24"/>
          <w:szCs w:val="24"/>
          <w:rtl/>
        </w:rPr>
        <w:t xml:space="preserve">ניתן לגשת לפרסום המלא באמצעות </w:t>
      </w:r>
      <w:hyperlink r:id="rId14" w:history="1">
        <w:r w:rsidRPr="00CF6587">
          <w:rPr>
            <w:rStyle w:val="Hyperlink"/>
            <w:rFonts w:cstheme="minorHAnsi"/>
            <w:sz w:val="24"/>
            <w:szCs w:val="24"/>
            <w:rtl/>
          </w:rPr>
          <w:t>אתר האינטרנט של בנק ישראל</w:t>
        </w:r>
      </w:hyperlink>
      <w:r w:rsidRPr="00CF6587">
        <w:rPr>
          <w:rFonts w:cstheme="minorHAnsi"/>
          <w:sz w:val="24"/>
          <w:szCs w:val="24"/>
          <w:rtl/>
        </w:rPr>
        <w:t>, שם צורפו – לנוחות המשתמשים – הנתונים העיקריים בכל נושא, בקבצים נפרדים, וכן שולבו הפניות לנתונים באתר הבנק, המתעדכנים באופן שוטף.</w:t>
      </w:r>
      <w:r w:rsidR="000E132E" w:rsidRPr="00CF6587">
        <w:rPr>
          <w:rFonts w:cstheme="minorHAnsi"/>
          <w:sz w:val="24"/>
          <w:szCs w:val="24"/>
          <w:rtl/>
        </w:rPr>
        <w:t xml:space="preserve"> </w:t>
      </w:r>
    </w:p>
    <w:sectPr w:rsidR="00E864DF" w:rsidRPr="00CF6587" w:rsidSect="00F9496C">
      <w:footerReference w:type="default" r:id="rId15"/>
      <w:pgSz w:w="11906" w:h="16838"/>
      <w:pgMar w:top="1134" w:right="1797" w:bottom="1134" w:left="1797" w:header="709" w:footer="0"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8140" w16cex:dateUtc="2023-03-19T10:40:00Z"/>
  <w16cex:commentExtensible w16cex:durableId="27C181F1" w16cex:dateUtc="2023-03-19T10:43:00Z"/>
  <w16cex:commentExtensible w16cex:durableId="27C18264" w16cex:dateUtc="2023-03-19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E331F" w16cid:durableId="27C18140"/>
  <w16cid:commentId w16cid:paraId="5B3EDCAF" w16cid:durableId="27C181F1"/>
  <w16cid:commentId w16cid:paraId="23847715" w16cid:durableId="27C182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71" w:rsidRDefault="004A5B71" w:rsidP="006E4A40">
      <w:pPr>
        <w:spacing w:after="0" w:line="240" w:lineRule="auto"/>
      </w:pPr>
      <w:r>
        <w:separator/>
      </w:r>
    </w:p>
  </w:endnote>
  <w:endnote w:type="continuationSeparator" w:id="0">
    <w:p w:rsidR="004A5B71" w:rsidRDefault="004A5B71" w:rsidP="006E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25" w:rsidRPr="00D06C46" w:rsidRDefault="00DA5125" w:rsidP="00DA5125">
    <w:pPr>
      <w:tabs>
        <w:tab w:val="center" w:pos="4153"/>
        <w:tab w:val="right" w:pos="8306"/>
      </w:tabs>
      <w:bidi w:val="0"/>
      <w:spacing w:after="0" w:line="240" w:lineRule="auto"/>
      <w:rPr>
        <w:rtl/>
      </w:rPr>
    </w:pPr>
    <w:r w:rsidRPr="00D06C46">
      <w:rPr>
        <w:rFonts w:cs="Calibri"/>
        <w:noProof/>
        <w:rtl/>
      </w:rPr>
      <w:drawing>
        <wp:anchor distT="0" distB="0" distL="114300" distR="114300" simplePos="0" relativeHeight="251664384" behindDoc="0" locked="0" layoutInCell="1" allowOverlap="1" wp14:anchorId="70B814DD" wp14:editId="610562EF">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26B16662" wp14:editId="7EB1853B">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7B511B25" wp14:editId="718B5E3D">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0AAB377C" wp14:editId="657C441F">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6B4E3C51" wp14:editId="336CCE36">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DA5125" w:rsidRPr="00B677DC" w:rsidRDefault="00DA5125" w:rsidP="00DA5125">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E3C51"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DA5125" w:rsidRPr="00B677DC" w:rsidRDefault="00DA5125" w:rsidP="00DA5125">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702FBEE9" wp14:editId="72BBF3EB">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DA5125" w:rsidRPr="00F20046" w:rsidRDefault="00DA5125" w:rsidP="00DA5125">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FBEE9"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DA5125" w:rsidRPr="00F20046" w:rsidRDefault="00DA5125" w:rsidP="00DA5125">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2F896134" wp14:editId="4462D1D8">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DA5125" w:rsidRPr="00B677DC" w:rsidRDefault="00DA5125" w:rsidP="00DA5125">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96134" id="תיבת טקסט 6"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rsidR="00DA5125" w:rsidRPr="00B677DC" w:rsidRDefault="00DA5125" w:rsidP="00DA5125">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1E193006" wp14:editId="475426E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DA5125" w:rsidRPr="00B677DC" w:rsidRDefault="00DA5125" w:rsidP="00DA5125">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93006"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DA5125" w:rsidRPr="00B677DC" w:rsidRDefault="00DA5125" w:rsidP="00DA5125">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02645145" wp14:editId="5D8E7B23">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CAA5DC"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r w:rsidRPr="00D06C46">
      <w:rPr>
        <w:rFonts w:cs="Calibri"/>
        <w:noProof/>
        <w:rtl/>
      </w:rPr>
      <w:t xml:space="preserve"> </w:t>
    </w:r>
  </w:p>
  <w:p w:rsidR="00DA5125" w:rsidRPr="00D06C46" w:rsidRDefault="00DA5125" w:rsidP="00DA5125">
    <w:pPr>
      <w:tabs>
        <w:tab w:val="center" w:pos="4153"/>
        <w:tab w:val="right" w:pos="8306"/>
      </w:tabs>
      <w:spacing w:after="0" w:line="240" w:lineRule="auto"/>
    </w:pPr>
  </w:p>
  <w:p w:rsidR="00DA5125" w:rsidRDefault="00DA5125" w:rsidP="00DA5125">
    <w:pPr>
      <w:pStyle w:val="a8"/>
    </w:pPr>
  </w:p>
  <w:p w:rsidR="00DA5125" w:rsidRDefault="00DA5125" w:rsidP="00DA5125">
    <w:pPr>
      <w:pStyle w:val="a8"/>
      <w:rPr>
        <w:rtl/>
        <w:cs/>
      </w:rPr>
    </w:pPr>
  </w:p>
  <w:p w:rsidR="00DA5125" w:rsidRDefault="00DA5125" w:rsidP="00DA5125">
    <w:pPr>
      <w:pStyle w:val="a8"/>
    </w:pPr>
  </w:p>
  <w:p w:rsidR="006E4A40" w:rsidRDefault="006E4A40" w:rsidP="006E4A40">
    <w:pPr>
      <w:pStyle w:val="a8"/>
      <w:rPr>
        <w:rtl/>
        <w:cs/>
      </w:rPr>
    </w:pPr>
  </w:p>
  <w:p w:rsidR="006E4A40" w:rsidRDefault="006E4A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71" w:rsidRDefault="004A5B71" w:rsidP="006E4A40">
      <w:pPr>
        <w:spacing w:after="0" w:line="240" w:lineRule="auto"/>
      </w:pPr>
      <w:r>
        <w:separator/>
      </w:r>
    </w:p>
  </w:footnote>
  <w:footnote w:type="continuationSeparator" w:id="0">
    <w:p w:rsidR="004A5B71" w:rsidRDefault="004A5B71" w:rsidP="006E4A40">
      <w:pPr>
        <w:spacing w:after="0" w:line="240" w:lineRule="auto"/>
      </w:pPr>
      <w:r>
        <w:continuationSeparator/>
      </w:r>
    </w:p>
  </w:footnote>
  <w:footnote w:id="1">
    <w:p w:rsidR="00FA75FC" w:rsidRDefault="00FA75FC" w:rsidP="00FA75FC">
      <w:pPr>
        <w:pStyle w:val="af0"/>
      </w:pPr>
      <w:r>
        <w:rPr>
          <w:rStyle w:val="af2"/>
        </w:rPr>
        <w:footnoteRef/>
      </w:r>
      <w:r>
        <w:rPr>
          <w:rtl/>
        </w:rPr>
        <w:t xml:space="preserve"> </w:t>
      </w:r>
      <w:r>
        <w:rPr>
          <w:rFonts w:hint="cs"/>
          <w:rtl/>
        </w:rPr>
        <w:t>השקעות של תושבי חוץ בישראל</w:t>
      </w:r>
    </w:p>
  </w:footnote>
  <w:footnote w:id="2">
    <w:p w:rsidR="00FA75FC" w:rsidRDefault="00FA75FC" w:rsidP="00FA75FC">
      <w:pPr>
        <w:pStyle w:val="af0"/>
      </w:pPr>
      <w:r>
        <w:rPr>
          <w:rStyle w:val="af2"/>
        </w:rPr>
        <w:footnoteRef/>
      </w:r>
      <w:r>
        <w:rPr>
          <w:rtl/>
        </w:rPr>
        <w:t xml:space="preserve"> </w:t>
      </w:r>
      <w:r>
        <w:rPr>
          <w:rFonts w:hint="cs"/>
          <w:rtl/>
        </w:rPr>
        <w:t>השקעות תושבי ישראל בחו"ל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21.75pt" o:bullet="t">
        <v:imagedata r:id="rId1" o:title="Picture331"/>
      </v:shape>
    </w:pict>
  </w:numPicBullet>
  <w:abstractNum w:abstractNumId="0" w15:restartNumberingAfterBreak="0">
    <w:nsid w:val="0058578A"/>
    <w:multiLevelType w:val="hybridMultilevel"/>
    <w:tmpl w:val="4062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520"/>
    <w:multiLevelType w:val="hybridMultilevel"/>
    <w:tmpl w:val="1312F4DE"/>
    <w:lvl w:ilvl="0" w:tplc="E1668E08">
      <w:start w:val="1"/>
      <w:numFmt w:val="hebrew1"/>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7246"/>
    <w:multiLevelType w:val="hybridMultilevel"/>
    <w:tmpl w:val="58F28D9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15:restartNumberingAfterBreak="0">
    <w:nsid w:val="0A883739"/>
    <w:multiLevelType w:val="hybridMultilevel"/>
    <w:tmpl w:val="998C183C"/>
    <w:lvl w:ilvl="0" w:tplc="1390D8D4">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05F1D"/>
    <w:multiLevelType w:val="hybridMultilevel"/>
    <w:tmpl w:val="5026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144A"/>
    <w:multiLevelType w:val="hybridMultilevel"/>
    <w:tmpl w:val="F944700A"/>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29D4"/>
    <w:multiLevelType w:val="hybridMultilevel"/>
    <w:tmpl w:val="BA0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D9C"/>
    <w:multiLevelType w:val="hybridMultilevel"/>
    <w:tmpl w:val="0ED2CE8A"/>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7F09"/>
    <w:multiLevelType w:val="hybridMultilevel"/>
    <w:tmpl w:val="A48C42D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18E40E75"/>
    <w:multiLevelType w:val="hybridMultilevel"/>
    <w:tmpl w:val="1136C03A"/>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1" w15:restartNumberingAfterBreak="0">
    <w:nsid w:val="19381D0A"/>
    <w:multiLevelType w:val="hybridMultilevel"/>
    <w:tmpl w:val="72301658"/>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504CDD"/>
    <w:multiLevelType w:val="hybridMultilevel"/>
    <w:tmpl w:val="E722A16A"/>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A5FB0"/>
    <w:multiLevelType w:val="hybridMultilevel"/>
    <w:tmpl w:val="8204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3AE9"/>
    <w:multiLevelType w:val="hybridMultilevel"/>
    <w:tmpl w:val="709A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E30F2"/>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23F6C"/>
    <w:multiLevelType w:val="hybridMultilevel"/>
    <w:tmpl w:val="25FED19C"/>
    <w:lvl w:ilvl="0" w:tplc="DFBE00E2">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74199C"/>
    <w:multiLevelType w:val="hybridMultilevel"/>
    <w:tmpl w:val="5C88468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8" w15:restartNumberingAfterBreak="0">
    <w:nsid w:val="2E86009E"/>
    <w:multiLevelType w:val="hybridMultilevel"/>
    <w:tmpl w:val="CA7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A71FB"/>
    <w:multiLevelType w:val="hybridMultilevel"/>
    <w:tmpl w:val="022EDDB4"/>
    <w:lvl w:ilvl="0" w:tplc="B22E28A2">
      <w:start w:val="1"/>
      <w:numFmt w:val="bullet"/>
      <w:lvlText w:val=""/>
      <w:lvlJc w:val="left"/>
      <w:pPr>
        <w:ind w:left="36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A1485"/>
    <w:multiLevelType w:val="hybridMultilevel"/>
    <w:tmpl w:val="2E08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73312C"/>
    <w:multiLevelType w:val="hybridMultilevel"/>
    <w:tmpl w:val="604EF50C"/>
    <w:lvl w:ilvl="0" w:tplc="953EFB66">
      <w:start w:val="1"/>
      <w:numFmt w:val="decimal"/>
      <w:pStyle w:val="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3959EB"/>
    <w:multiLevelType w:val="hybridMultilevel"/>
    <w:tmpl w:val="EBD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32EE6"/>
    <w:multiLevelType w:val="hybridMultilevel"/>
    <w:tmpl w:val="B354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7808D5"/>
    <w:multiLevelType w:val="hybridMultilevel"/>
    <w:tmpl w:val="1A00F7DE"/>
    <w:lvl w:ilvl="0" w:tplc="4E0EF99C">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E67B1D"/>
    <w:multiLevelType w:val="hybridMultilevel"/>
    <w:tmpl w:val="A0E4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D4082"/>
    <w:multiLevelType w:val="hybridMultilevel"/>
    <w:tmpl w:val="3A64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A49C2"/>
    <w:multiLevelType w:val="hybridMultilevel"/>
    <w:tmpl w:val="D77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57B8E"/>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409"/>
    <w:multiLevelType w:val="hybridMultilevel"/>
    <w:tmpl w:val="3916566E"/>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30" w15:restartNumberingAfterBreak="0">
    <w:nsid w:val="77874419"/>
    <w:multiLevelType w:val="hybridMultilevel"/>
    <w:tmpl w:val="982A0106"/>
    <w:lvl w:ilvl="0" w:tplc="B22E28A2">
      <w:start w:val="1"/>
      <w:numFmt w:val="bullet"/>
      <w:lvlText w:val=""/>
      <w:lvlJc w:val="left"/>
      <w:pPr>
        <w:ind w:left="360" w:hanging="360"/>
      </w:pPr>
      <w:rPr>
        <w:rFonts w:ascii="Symbol" w:hAnsi="Symbol" w:hint="default"/>
        <w:b/>
        <w:bCs/>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30"/>
  </w:num>
  <w:num w:numId="4">
    <w:abstractNumId w:val="26"/>
  </w:num>
  <w:num w:numId="5">
    <w:abstractNumId w:val="24"/>
  </w:num>
  <w:num w:numId="6">
    <w:abstractNumId w:val="11"/>
  </w:num>
  <w:num w:numId="7">
    <w:abstractNumId w:val="3"/>
  </w:num>
  <w:num w:numId="8">
    <w:abstractNumId w:val="18"/>
  </w:num>
  <w:num w:numId="9">
    <w:abstractNumId w:val="17"/>
  </w:num>
  <w:num w:numId="10">
    <w:abstractNumId w:val="9"/>
  </w:num>
  <w:num w:numId="11">
    <w:abstractNumId w:val="8"/>
  </w:num>
  <w:num w:numId="12">
    <w:abstractNumId w:val="29"/>
  </w:num>
  <w:num w:numId="13">
    <w:abstractNumId w:val="28"/>
  </w:num>
  <w:num w:numId="14">
    <w:abstractNumId w:val="0"/>
  </w:num>
  <w:num w:numId="15">
    <w:abstractNumId w:val="22"/>
  </w:num>
  <w:num w:numId="16">
    <w:abstractNumId w:val="7"/>
  </w:num>
  <w:num w:numId="17">
    <w:abstractNumId w:val="15"/>
  </w:num>
  <w:num w:numId="18">
    <w:abstractNumId w:val="14"/>
  </w:num>
  <w:num w:numId="19">
    <w:abstractNumId w:val="1"/>
  </w:num>
  <w:num w:numId="20">
    <w:abstractNumId w:val="6"/>
  </w:num>
  <w:num w:numId="21">
    <w:abstractNumId w:val="10"/>
  </w:num>
  <w:num w:numId="22">
    <w:abstractNumId w:val="23"/>
  </w:num>
  <w:num w:numId="23">
    <w:abstractNumId w:val="2"/>
  </w:num>
  <w:num w:numId="24">
    <w:abstractNumId w:val="12"/>
  </w:num>
  <w:num w:numId="25">
    <w:abstractNumId w:val="19"/>
  </w:num>
  <w:num w:numId="26">
    <w:abstractNumId w:val="4"/>
  </w:num>
  <w:num w:numId="27">
    <w:abstractNumId w:val="13"/>
  </w:num>
  <w:num w:numId="28">
    <w:abstractNumId w:val="21"/>
  </w:num>
  <w:num w:numId="29">
    <w:abstractNumId w:val="21"/>
    <w:lvlOverride w:ilvl="0">
      <w:startOverride w:val="2"/>
    </w:lvlOverride>
  </w:num>
  <w:num w:numId="30">
    <w:abstractNumId w:val="27"/>
  </w:num>
  <w:num w:numId="31">
    <w:abstractNumId w:val="5"/>
  </w:num>
  <w:num w:numId="32">
    <w:abstractNumId w:val="2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43"/>
    <w:rsid w:val="000016BB"/>
    <w:rsid w:val="000041FE"/>
    <w:rsid w:val="00011EC8"/>
    <w:rsid w:val="00026D2F"/>
    <w:rsid w:val="00033B59"/>
    <w:rsid w:val="0003662F"/>
    <w:rsid w:val="0003795F"/>
    <w:rsid w:val="00046E11"/>
    <w:rsid w:val="00054235"/>
    <w:rsid w:val="00055A64"/>
    <w:rsid w:val="00057548"/>
    <w:rsid w:val="000657A8"/>
    <w:rsid w:val="00071097"/>
    <w:rsid w:val="00077DA2"/>
    <w:rsid w:val="00094114"/>
    <w:rsid w:val="0009720D"/>
    <w:rsid w:val="000973EF"/>
    <w:rsid w:val="000A3948"/>
    <w:rsid w:val="000B2E2C"/>
    <w:rsid w:val="000B3125"/>
    <w:rsid w:val="000B7FBE"/>
    <w:rsid w:val="000D40E4"/>
    <w:rsid w:val="000E03B8"/>
    <w:rsid w:val="000E132E"/>
    <w:rsid w:val="000E5356"/>
    <w:rsid w:val="000E5B5B"/>
    <w:rsid w:val="000F159A"/>
    <w:rsid w:val="0010369E"/>
    <w:rsid w:val="00113841"/>
    <w:rsid w:val="00114562"/>
    <w:rsid w:val="00142177"/>
    <w:rsid w:val="001504F0"/>
    <w:rsid w:val="0015142D"/>
    <w:rsid w:val="00167544"/>
    <w:rsid w:val="0017411C"/>
    <w:rsid w:val="001875A7"/>
    <w:rsid w:val="00192B5B"/>
    <w:rsid w:val="001A1017"/>
    <w:rsid w:val="001A392B"/>
    <w:rsid w:val="001B0709"/>
    <w:rsid w:val="001B64B5"/>
    <w:rsid w:val="001C14F1"/>
    <w:rsid w:val="001C5155"/>
    <w:rsid w:val="001D3AE5"/>
    <w:rsid w:val="001D3FC4"/>
    <w:rsid w:val="001D70FE"/>
    <w:rsid w:val="001E017A"/>
    <w:rsid w:val="001E024F"/>
    <w:rsid w:val="001E12EC"/>
    <w:rsid w:val="001E6A40"/>
    <w:rsid w:val="001F384B"/>
    <w:rsid w:val="001F396A"/>
    <w:rsid w:val="00213D34"/>
    <w:rsid w:val="00215BBE"/>
    <w:rsid w:val="002351C6"/>
    <w:rsid w:val="00264F77"/>
    <w:rsid w:val="00265734"/>
    <w:rsid w:val="00272D51"/>
    <w:rsid w:val="002802BC"/>
    <w:rsid w:val="0028675A"/>
    <w:rsid w:val="00292122"/>
    <w:rsid w:val="002A1BC9"/>
    <w:rsid w:val="002A27FD"/>
    <w:rsid w:val="002B1D5A"/>
    <w:rsid w:val="002B6A84"/>
    <w:rsid w:val="002C6B31"/>
    <w:rsid w:val="002D2EE7"/>
    <w:rsid w:val="00306545"/>
    <w:rsid w:val="003115ED"/>
    <w:rsid w:val="00316DB3"/>
    <w:rsid w:val="00320549"/>
    <w:rsid w:val="00341EC2"/>
    <w:rsid w:val="003451B1"/>
    <w:rsid w:val="0037178A"/>
    <w:rsid w:val="003A1466"/>
    <w:rsid w:val="003B2848"/>
    <w:rsid w:val="003E45CC"/>
    <w:rsid w:val="003E5AA3"/>
    <w:rsid w:val="00402021"/>
    <w:rsid w:val="0042241D"/>
    <w:rsid w:val="00435E46"/>
    <w:rsid w:val="004373EF"/>
    <w:rsid w:val="00440316"/>
    <w:rsid w:val="0044305A"/>
    <w:rsid w:val="00450898"/>
    <w:rsid w:val="00451D95"/>
    <w:rsid w:val="00477FBB"/>
    <w:rsid w:val="00480E5F"/>
    <w:rsid w:val="00490BCD"/>
    <w:rsid w:val="00494260"/>
    <w:rsid w:val="004A5B71"/>
    <w:rsid w:val="004B0D0C"/>
    <w:rsid w:val="004B5DF8"/>
    <w:rsid w:val="004C0534"/>
    <w:rsid w:val="004D3F3D"/>
    <w:rsid w:val="004D694C"/>
    <w:rsid w:val="004D7F68"/>
    <w:rsid w:val="004E30FA"/>
    <w:rsid w:val="004E63AA"/>
    <w:rsid w:val="005175CE"/>
    <w:rsid w:val="00517D1F"/>
    <w:rsid w:val="0053375E"/>
    <w:rsid w:val="00547BEE"/>
    <w:rsid w:val="00551E33"/>
    <w:rsid w:val="00567E5F"/>
    <w:rsid w:val="005801F4"/>
    <w:rsid w:val="005A317B"/>
    <w:rsid w:val="005A55AA"/>
    <w:rsid w:val="005A741C"/>
    <w:rsid w:val="005B0998"/>
    <w:rsid w:val="005C3BD4"/>
    <w:rsid w:val="005D6EE3"/>
    <w:rsid w:val="005E416D"/>
    <w:rsid w:val="006005D8"/>
    <w:rsid w:val="00603043"/>
    <w:rsid w:val="00614AF5"/>
    <w:rsid w:val="006212DF"/>
    <w:rsid w:val="006224AD"/>
    <w:rsid w:val="00622B08"/>
    <w:rsid w:val="00630DB3"/>
    <w:rsid w:val="0064721B"/>
    <w:rsid w:val="00653851"/>
    <w:rsid w:val="00653BAE"/>
    <w:rsid w:val="0067310C"/>
    <w:rsid w:val="00674F2B"/>
    <w:rsid w:val="00682A6E"/>
    <w:rsid w:val="00685430"/>
    <w:rsid w:val="00695FF6"/>
    <w:rsid w:val="006972AC"/>
    <w:rsid w:val="006A0382"/>
    <w:rsid w:val="006A293A"/>
    <w:rsid w:val="006A78B4"/>
    <w:rsid w:val="006B32C4"/>
    <w:rsid w:val="006B36AB"/>
    <w:rsid w:val="006D0446"/>
    <w:rsid w:val="006D1620"/>
    <w:rsid w:val="006D6B05"/>
    <w:rsid w:val="006E0481"/>
    <w:rsid w:val="006E4A40"/>
    <w:rsid w:val="006F2A5F"/>
    <w:rsid w:val="006F5D9B"/>
    <w:rsid w:val="007001D9"/>
    <w:rsid w:val="00716312"/>
    <w:rsid w:val="007208C0"/>
    <w:rsid w:val="00722615"/>
    <w:rsid w:val="00734FE5"/>
    <w:rsid w:val="00745B43"/>
    <w:rsid w:val="00770340"/>
    <w:rsid w:val="007819A4"/>
    <w:rsid w:val="00795EF5"/>
    <w:rsid w:val="007A11FA"/>
    <w:rsid w:val="007A60E0"/>
    <w:rsid w:val="007B1AD6"/>
    <w:rsid w:val="007B36D2"/>
    <w:rsid w:val="007B373F"/>
    <w:rsid w:val="007C3E87"/>
    <w:rsid w:val="007D5DF9"/>
    <w:rsid w:val="007E102D"/>
    <w:rsid w:val="0080246E"/>
    <w:rsid w:val="008112EF"/>
    <w:rsid w:val="00815292"/>
    <w:rsid w:val="00835150"/>
    <w:rsid w:val="0083643A"/>
    <w:rsid w:val="00836D81"/>
    <w:rsid w:val="008448AD"/>
    <w:rsid w:val="00845527"/>
    <w:rsid w:val="00855288"/>
    <w:rsid w:val="008711DD"/>
    <w:rsid w:val="008775A5"/>
    <w:rsid w:val="008853A8"/>
    <w:rsid w:val="0088572C"/>
    <w:rsid w:val="0088602E"/>
    <w:rsid w:val="008C27BD"/>
    <w:rsid w:val="008D7EF6"/>
    <w:rsid w:val="008E0F81"/>
    <w:rsid w:val="008E2AAA"/>
    <w:rsid w:val="008E7241"/>
    <w:rsid w:val="008F4267"/>
    <w:rsid w:val="00911363"/>
    <w:rsid w:val="009316EE"/>
    <w:rsid w:val="0093532C"/>
    <w:rsid w:val="0094102F"/>
    <w:rsid w:val="00952B15"/>
    <w:rsid w:val="00962019"/>
    <w:rsid w:val="00964D0D"/>
    <w:rsid w:val="009848D9"/>
    <w:rsid w:val="00985093"/>
    <w:rsid w:val="0098781E"/>
    <w:rsid w:val="009879AC"/>
    <w:rsid w:val="00996A45"/>
    <w:rsid w:val="009B1E43"/>
    <w:rsid w:val="009C66C0"/>
    <w:rsid w:val="009E03A9"/>
    <w:rsid w:val="009E3E11"/>
    <w:rsid w:val="009F1B56"/>
    <w:rsid w:val="009F63EB"/>
    <w:rsid w:val="00A12B0A"/>
    <w:rsid w:val="00A15F73"/>
    <w:rsid w:val="00A23475"/>
    <w:rsid w:val="00A242D6"/>
    <w:rsid w:val="00A248F6"/>
    <w:rsid w:val="00A45B71"/>
    <w:rsid w:val="00A54EE9"/>
    <w:rsid w:val="00A62DEB"/>
    <w:rsid w:val="00A86CDA"/>
    <w:rsid w:val="00AA72FA"/>
    <w:rsid w:val="00AB575A"/>
    <w:rsid w:val="00AB75BA"/>
    <w:rsid w:val="00AC2448"/>
    <w:rsid w:val="00B05370"/>
    <w:rsid w:val="00B10151"/>
    <w:rsid w:val="00B11F05"/>
    <w:rsid w:val="00B15636"/>
    <w:rsid w:val="00B15D4C"/>
    <w:rsid w:val="00B172B4"/>
    <w:rsid w:val="00B2577C"/>
    <w:rsid w:val="00B25DCB"/>
    <w:rsid w:val="00B3157C"/>
    <w:rsid w:val="00B43ACC"/>
    <w:rsid w:val="00B623A8"/>
    <w:rsid w:val="00B67F14"/>
    <w:rsid w:val="00B75EE7"/>
    <w:rsid w:val="00B93C3E"/>
    <w:rsid w:val="00BA3848"/>
    <w:rsid w:val="00BA5E14"/>
    <w:rsid w:val="00BB3636"/>
    <w:rsid w:val="00BB7CA3"/>
    <w:rsid w:val="00BB7F6C"/>
    <w:rsid w:val="00BE22E1"/>
    <w:rsid w:val="00BF6B09"/>
    <w:rsid w:val="00C00E94"/>
    <w:rsid w:val="00C0514F"/>
    <w:rsid w:val="00C129D0"/>
    <w:rsid w:val="00C20025"/>
    <w:rsid w:val="00C3025C"/>
    <w:rsid w:val="00C5044F"/>
    <w:rsid w:val="00C51A6A"/>
    <w:rsid w:val="00C55998"/>
    <w:rsid w:val="00C673FA"/>
    <w:rsid w:val="00C709C0"/>
    <w:rsid w:val="00C72839"/>
    <w:rsid w:val="00C74F6D"/>
    <w:rsid w:val="00C848D3"/>
    <w:rsid w:val="00C871E2"/>
    <w:rsid w:val="00CA2BC0"/>
    <w:rsid w:val="00CB1369"/>
    <w:rsid w:val="00CC3C00"/>
    <w:rsid w:val="00CC6614"/>
    <w:rsid w:val="00CE0FF0"/>
    <w:rsid w:val="00CF6587"/>
    <w:rsid w:val="00CF68A8"/>
    <w:rsid w:val="00D16DB2"/>
    <w:rsid w:val="00D45B67"/>
    <w:rsid w:val="00D52B75"/>
    <w:rsid w:val="00D72C1D"/>
    <w:rsid w:val="00D77455"/>
    <w:rsid w:val="00D946FC"/>
    <w:rsid w:val="00D96A3C"/>
    <w:rsid w:val="00DA5125"/>
    <w:rsid w:val="00DB4882"/>
    <w:rsid w:val="00DB5734"/>
    <w:rsid w:val="00DC39CB"/>
    <w:rsid w:val="00DC5066"/>
    <w:rsid w:val="00DD735B"/>
    <w:rsid w:val="00DF50B7"/>
    <w:rsid w:val="00E134F1"/>
    <w:rsid w:val="00E144C3"/>
    <w:rsid w:val="00E24DBC"/>
    <w:rsid w:val="00E4510C"/>
    <w:rsid w:val="00E53F9A"/>
    <w:rsid w:val="00E77671"/>
    <w:rsid w:val="00E823B2"/>
    <w:rsid w:val="00E92AF6"/>
    <w:rsid w:val="00EA48EA"/>
    <w:rsid w:val="00EA51C4"/>
    <w:rsid w:val="00EA773C"/>
    <w:rsid w:val="00EA791D"/>
    <w:rsid w:val="00EB3718"/>
    <w:rsid w:val="00EB7C4C"/>
    <w:rsid w:val="00EC5B3C"/>
    <w:rsid w:val="00ED2C0E"/>
    <w:rsid w:val="00EE087A"/>
    <w:rsid w:val="00EE5318"/>
    <w:rsid w:val="00F01701"/>
    <w:rsid w:val="00F0257F"/>
    <w:rsid w:val="00F11718"/>
    <w:rsid w:val="00F13238"/>
    <w:rsid w:val="00F1492F"/>
    <w:rsid w:val="00F2062E"/>
    <w:rsid w:val="00F31E26"/>
    <w:rsid w:val="00F34384"/>
    <w:rsid w:val="00F35C66"/>
    <w:rsid w:val="00F424B6"/>
    <w:rsid w:val="00F62F43"/>
    <w:rsid w:val="00F71074"/>
    <w:rsid w:val="00F9496C"/>
    <w:rsid w:val="00F95291"/>
    <w:rsid w:val="00FA18A0"/>
    <w:rsid w:val="00FA3F80"/>
    <w:rsid w:val="00FA75FC"/>
    <w:rsid w:val="00FB1D63"/>
    <w:rsid w:val="00FB305E"/>
    <w:rsid w:val="00FC325B"/>
    <w:rsid w:val="00FD0BCE"/>
    <w:rsid w:val="00FF0950"/>
    <w:rsid w:val="00FF2187"/>
    <w:rsid w:val="00FF314C"/>
    <w:rsid w:val="00FF36B5"/>
    <w:rsid w:val="00FF6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2C914"/>
  <w15:docId w15:val="{8EE5D64B-5536-46C6-BA84-C46A65A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43"/>
    <w:pPr>
      <w:bidi/>
    </w:pPr>
  </w:style>
  <w:style w:type="paragraph" w:styleId="10">
    <w:name w:val="heading 1"/>
    <w:basedOn w:val="a"/>
    <w:next w:val="a"/>
    <w:link w:val="11"/>
    <w:autoRedefine/>
    <w:uiPriority w:val="9"/>
    <w:qFormat/>
    <w:rsid w:val="001E6A40"/>
    <w:pPr>
      <w:keepNext/>
      <w:keepLines/>
      <w:spacing w:after="0" w:line="360" w:lineRule="auto"/>
      <w:ind w:left="720"/>
      <w:jc w:val="center"/>
      <w:outlineLvl w:val="0"/>
    </w:pPr>
    <w:rPr>
      <w:rFonts w:asciiTheme="majorHAnsi" w:eastAsiaTheme="majorEastAsia" w:hAnsiTheme="majorHAnsi" w:cs="David"/>
      <w:b/>
      <w:bCs/>
      <w:color w:val="01818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EE"/>
    <w:pPr>
      <w:ind w:left="720"/>
      <w:contextualSpacing/>
    </w:pPr>
  </w:style>
  <w:style w:type="paragraph" w:styleId="a4">
    <w:name w:val="Balloon Text"/>
    <w:basedOn w:val="a"/>
    <w:link w:val="a5"/>
    <w:uiPriority w:val="99"/>
    <w:semiHidden/>
    <w:unhideWhenUsed/>
    <w:rsid w:val="006E4A4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E4A40"/>
    <w:rPr>
      <w:rFonts w:ascii="Tahoma" w:hAnsi="Tahoma" w:cs="Tahoma"/>
      <w:sz w:val="16"/>
      <w:szCs w:val="16"/>
    </w:rPr>
  </w:style>
  <w:style w:type="paragraph" w:styleId="a6">
    <w:name w:val="header"/>
    <w:basedOn w:val="a"/>
    <w:link w:val="a7"/>
    <w:uiPriority w:val="99"/>
    <w:unhideWhenUsed/>
    <w:rsid w:val="006E4A40"/>
    <w:pPr>
      <w:tabs>
        <w:tab w:val="center" w:pos="4153"/>
        <w:tab w:val="right" w:pos="8306"/>
      </w:tabs>
      <w:spacing w:after="0" w:line="240" w:lineRule="auto"/>
    </w:pPr>
  </w:style>
  <w:style w:type="character" w:customStyle="1" w:styleId="a7">
    <w:name w:val="כותרת עליונה תו"/>
    <w:basedOn w:val="a0"/>
    <w:link w:val="a6"/>
    <w:uiPriority w:val="99"/>
    <w:rsid w:val="006E4A40"/>
  </w:style>
  <w:style w:type="paragraph" w:styleId="a8">
    <w:name w:val="footer"/>
    <w:basedOn w:val="a"/>
    <w:link w:val="a9"/>
    <w:uiPriority w:val="99"/>
    <w:unhideWhenUsed/>
    <w:rsid w:val="006E4A40"/>
    <w:pPr>
      <w:tabs>
        <w:tab w:val="center" w:pos="4153"/>
        <w:tab w:val="right" w:pos="8306"/>
      </w:tabs>
      <w:spacing w:after="0" w:line="240" w:lineRule="auto"/>
    </w:pPr>
  </w:style>
  <w:style w:type="character" w:customStyle="1" w:styleId="a9">
    <w:name w:val="כותרת תחתונה תו"/>
    <w:basedOn w:val="a0"/>
    <w:link w:val="a8"/>
    <w:uiPriority w:val="99"/>
    <w:rsid w:val="006E4A40"/>
  </w:style>
  <w:style w:type="character" w:styleId="Hyperlink">
    <w:name w:val="Hyperlink"/>
    <w:basedOn w:val="a0"/>
    <w:uiPriority w:val="99"/>
    <w:unhideWhenUsed/>
    <w:rsid w:val="008775A5"/>
    <w:rPr>
      <w:color w:val="0000FF" w:themeColor="hyperlink"/>
      <w:u w:val="single"/>
    </w:rPr>
  </w:style>
  <w:style w:type="character" w:styleId="FollowedHyperlink">
    <w:name w:val="FollowedHyperlink"/>
    <w:basedOn w:val="a0"/>
    <w:uiPriority w:val="99"/>
    <w:semiHidden/>
    <w:unhideWhenUsed/>
    <w:rsid w:val="00A248F6"/>
    <w:rPr>
      <w:color w:val="800080" w:themeColor="followedHyperlink"/>
      <w:u w:val="single"/>
    </w:rPr>
  </w:style>
  <w:style w:type="table" w:styleId="aa">
    <w:name w:val="Table Grid"/>
    <w:basedOn w:val="a1"/>
    <w:uiPriority w:val="59"/>
    <w:rsid w:val="0078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134F1"/>
    <w:rPr>
      <w:sz w:val="16"/>
      <w:szCs w:val="16"/>
    </w:rPr>
  </w:style>
  <w:style w:type="paragraph" w:styleId="ac">
    <w:name w:val="annotation text"/>
    <w:basedOn w:val="a"/>
    <w:link w:val="ad"/>
    <w:uiPriority w:val="99"/>
    <w:semiHidden/>
    <w:unhideWhenUsed/>
    <w:rsid w:val="00E134F1"/>
    <w:pPr>
      <w:spacing w:line="240" w:lineRule="auto"/>
    </w:pPr>
    <w:rPr>
      <w:sz w:val="20"/>
      <w:szCs w:val="20"/>
    </w:rPr>
  </w:style>
  <w:style w:type="character" w:customStyle="1" w:styleId="ad">
    <w:name w:val="טקסט הערה תו"/>
    <w:basedOn w:val="a0"/>
    <w:link w:val="ac"/>
    <w:uiPriority w:val="99"/>
    <w:semiHidden/>
    <w:rsid w:val="00E134F1"/>
    <w:rPr>
      <w:sz w:val="20"/>
      <w:szCs w:val="20"/>
    </w:rPr>
  </w:style>
  <w:style w:type="paragraph" w:styleId="ae">
    <w:name w:val="annotation subject"/>
    <w:basedOn w:val="ac"/>
    <w:next w:val="ac"/>
    <w:link w:val="af"/>
    <w:uiPriority w:val="99"/>
    <w:semiHidden/>
    <w:unhideWhenUsed/>
    <w:rsid w:val="00E134F1"/>
    <w:rPr>
      <w:b/>
      <w:bCs/>
    </w:rPr>
  </w:style>
  <w:style w:type="character" w:customStyle="1" w:styleId="af">
    <w:name w:val="נושא הערה תו"/>
    <w:basedOn w:val="ad"/>
    <w:link w:val="ae"/>
    <w:uiPriority w:val="99"/>
    <w:semiHidden/>
    <w:rsid w:val="00E134F1"/>
    <w:rPr>
      <w:b/>
      <w:bCs/>
      <w:sz w:val="20"/>
      <w:szCs w:val="20"/>
    </w:rPr>
  </w:style>
  <w:style w:type="paragraph" w:styleId="af0">
    <w:name w:val="footnote text"/>
    <w:basedOn w:val="a"/>
    <w:link w:val="af1"/>
    <w:unhideWhenUsed/>
    <w:rsid w:val="006A293A"/>
    <w:pPr>
      <w:spacing w:after="0" w:line="240" w:lineRule="auto"/>
    </w:pPr>
    <w:rPr>
      <w:sz w:val="20"/>
      <w:szCs w:val="20"/>
    </w:rPr>
  </w:style>
  <w:style w:type="character" w:customStyle="1" w:styleId="af1">
    <w:name w:val="טקסט הערת שוליים תו"/>
    <w:basedOn w:val="a0"/>
    <w:link w:val="af0"/>
    <w:rsid w:val="006A293A"/>
    <w:rPr>
      <w:sz w:val="20"/>
      <w:szCs w:val="20"/>
    </w:rPr>
  </w:style>
  <w:style w:type="character" w:styleId="af2">
    <w:name w:val="footnote reference"/>
    <w:basedOn w:val="a0"/>
    <w:semiHidden/>
    <w:unhideWhenUsed/>
    <w:rsid w:val="006A293A"/>
    <w:rPr>
      <w:vertAlign w:val="superscript"/>
    </w:rPr>
  </w:style>
  <w:style w:type="character" w:customStyle="1" w:styleId="11">
    <w:name w:val="כותרת 1 תו"/>
    <w:basedOn w:val="a0"/>
    <w:link w:val="10"/>
    <w:uiPriority w:val="9"/>
    <w:rsid w:val="001E6A40"/>
    <w:rPr>
      <w:rFonts w:asciiTheme="majorHAnsi" w:eastAsiaTheme="majorEastAsia" w:hAnsiTheme="majorHAnsi" w:cs="David"/>
      <w:b/>
      <w:bCs/>
      <w:color w:val="018181"/>
      <w:sz w:val="28"/>
      <w:szCs w:val="28"/>
    </w:rPr>
  </w:style>
  <w:style w:type="paragraph" w:customStyle="1" w:styleId="af3">
    <w:name w:val="כותרת ראשית"/>
    <w:basedOn w:val="a"/>
    <w:qFormat/>
    <w:rsid w:val="00EE087A"/>
    <w:pPr>
      <w:spacing w:after="0" w:line="240" w:lineRule="auto"/>
      <w:ind w:left="-7"/>
      <w:jc w:val="both"/>
    </w:pPr>
    <w:rPr>
      <w:rFonts w:ascii="Assistant" w:hAnsi="Assistant" w:cs="Assistant"/>
      <w:b/>
      <w:bCs/>
      <w:color w:val="177990"/>
      <w:sz w:val="28"/>
      <w:szCs w:val="28"/>
    </w:rPr>
  </w:style>
  <w:style w:type="paragraph" w:styleId="af4">
    <w:name w:val="No Spacing"/>
    <w:uiPriority w:val="1"/>
    <w:qFormat/>
    <w:rsid w:val="009C66C0"/>
    <w:pPr>
      <w:bidi/>
      <w:spacing w:after="0" w:line="240" w:lineRule="auto"/>
    </w:pPr>
    <w:rPr>
      <w:rFonts w:eastAsiaTheme="minorEastAsia"/>
    </w:rPr>
  </w:style>
  <w:style w:type="paragraph" w:styleId="af5">
    <w:name w:val="Revision"/>
    <w:hidden/>
    <w:uiPriority w:val="99"/>
    <w:semiHidden/>
    <w:rsid w:val="0028675A"/>
    <w:pPr>
      <w:spacing w:after="0" w:line="240" w:lineRule="auto"/>
    </w:pPr>
  </w:style>
  <w:style w:type="paragraph" w:customStyle="1" w:styleId="1">
    <w:name w:val="כותרת1"/>
    <w:basedOn w:val="af4"/>
    <w:qFormat/>
    <w:rsid w:val="008853A8"/>
    <w:pPr>
      <w:framePr w:hSpace="181" w:wrap="around" w:vAnchor="page" w:hAnchor="text" w:y="2382"/>
      <w:numPr>
        <w:numId w:val="28"/>
      </w:numPr>
      <w:ind w:right="-112"/>
      <w:suppressOverlap/>
    </w:pPr>
    <w:rPr>
      <w:rFonts w:ascii="Assistant" w:eastAsiaTheme="majorEastAsia" w:hAnsi="Assistant" w:cs="Assistant"/>
      <w:b/>
      <w:b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22348">
      <w:bodyDiv w:val="1"/>
      <w:marLeft w:val="0"/>
      <w:marRight w:val="0"/>
      <w:marTop w:val="0"/>
      <w:marBottom w:val="0"/>
      <w:divBdr>
        <w:top w:val="none" w:sz="0" w:space="0" w:color="auto"/>
        <w:left w:val="none" w:sz="0" w:space="0" w:color="auto"/>
        <w:bottom w:val="none" w:sz="0" w:space="0" w:color="auto"/>
        <w:right w:val="none" w:sz="0" w:space="0" w:color="auto"/>
      </w:divBdr>
    </w:div>
    <w:div w:id="20974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boi.org.il/publications/regularpublications/statistic_bulletin/bulletin2023/"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10.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9.png"/><Relationship Id="rId1" Type="http://schemas.openxmlformats.org/officeDocument/2006/relationships/image" Target="media/image8.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11.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4166-C54F-496C-8F43-F6F2917B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872</Words>
  <Characters>4364</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יאיר חיים</dc:creator>
  <cp:lastModifiedBy>לירון בן עמוס</cp:lastModifiedBy>
  <cp:revision>8</cp:revision>
  <cp:lastPrinted>2019-03-11T11:18:00Z</cp:lastPrinted>
  <dcterms:created xsi:type="dcterms:W3CDTF">2024-03-14T06:14:00Z</dcterms:created>
  <dcterms:modified xsi:type="dcterms:W3CDTF">2024-03-14T06:23:00Z</dcterms:modified>
</cp:coreProperties>
</file>