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4B" w:rsidRPr="00DA604B" w:rsidRDefault="00DA604B" w:rsidP="00DA604B">
      <w:pPr>
        <w:pBdr>
          <w:bottom w:val="single" w:sz="18" w:space="2" w:color="D4E0E4"/>
        </w:pBdr>
        <w:bidi w:val="0"/>
        <w:spacing w:after="0" w:line="240" w:lineRule="auto"/>
        <w:jc w:val="center"/>
        <w:outlineLvl w:val="0"/>
        <w:rPr>
          <w:rFonts w:ascii="Arial" w:eastAsia="Times New Roman" w:hAnsi="Arial" w:cs="Arial"/>
          <w:b/>
          <w:bCs/>
          <w:color w:val="225399"/>
          <w:kern w:val="36"/>
          <w:sz w:val="16"/>
          <w:szCs w:val="16"/>
        </w:rPr>
      </w:pPr>
      <w:r w:rsidRPr="00DA604B">
        <w:rPr>
          <w:rFonts w:ascii="Arial" w:eastAsia="Times New Roman" w:hAnsi="Arial" w:cs="Arial"/>
          <w:b/>
          <w:bCs/>
          <w:color w:val="225399"/>
          <w:kern w:val="36"/>
          <w:sz w:val="16"/>
          <w:szCs w:val="16"/>
        </w:rPr>
        <w:t xml:space="preserve">Inflation expectations derived from </w:t>
      </w:r>
      <w:r w:rsidR="005C291D">
        <w:rPr>
          <w:rFonts w:ascii="Arial" w:eastAsia="Times New Roman" w:hAnsi="Arial" w:cs="Arial"/>
          <w:b/>
          <w:bCs/>
          <w:color w:val="225399"/>
          <w:kern w:val="36"/>
          <w:sz w:val="16"/>
          <w:szCs w:val="16"/>
        </w:rPr>
        <w:t>the capital market</w:t>
      </w:r>
      <w:r w:rsidRPr="00DA604B">
        <w:rPr>
          <w:rFonts w:ascii="Arial" w:eastAsia="Times New Roman" w:hAnsi="Arial" w:cs="Arial"/>
          <w:b/>
          <w:bCs/>
          <w:color w:val="225399"/>
          <w:kern w:val="36"/>
          <w:sz w:val="16"/>
          <w:szCs w:val="16"/>
        </w:rPr>
        <w:t>, as calculated by the Bank of Israel</w:t>
      </w:r>
    </w:p>
    <w:p w:rsidR="00DA604B" w:rsidRPr="00DA604B" w:rsidRDefault="00DA604B" w:rsidP="005C291D">
      <w:pPr>
        <w:bidi w:val="0"/>
        <w:spacing w:after="0" w:line="270" w:lineRule="atLeast"/>
        <w:outlineLvl w:val="2"/>
        <w:rPr>
          <w:rFonts w:ascii="Arial" w:eastAsia="Times New Roman" w:hAnsi="Arial" w:cs="Arial"/>
          <w:b/>
          <w:bCs/>
          <w:color w:val="333333"/>
          <w:sz w:val="16"/>
          <w:szCs w:val="16"/>
        </w:rPr>
      </w:pPr>
      <w:r w:rsidRPr="00DA604B">
        <w:rPr>
          <w:rFonts w:ascii="Arial" w:eastAsia="Times New Roman" w:hAnsi="Arial" w:cs="Arial"/>
          <w:b/>
          <w:bCs/>
          <w:color w:val="333333"/>
          <w:sz w:val="16"/>
          <w:szCs w:val="16"/>
        </w:rPr>
        <w:t xml:space="preserve">Inflation expectations derived from </w:t>
      </w:r>
      <w:r w:rsidR="005C291D">
        <w:rPr>
          <w:rFonts w:ascii="Arial" w:eastAsia="Times New Roman" w:hAnsi="Arial" w:cs="Arial"/>
          <w:b/>
          <w:bCs/>
          <w:color w:val="333333"/>
          <w:sz w:val="16"/>
          <w:szCs w:val="16"/>
        </w:rPr>
        <w:t xml:space="preserve">the </w:t>
      </w:r>
      <w:r w:rsidRPr="00DA604B">
        <w:rPr>
          <w:rFonts w:ascii="Arial" w:eastAsia="Times New Roman" w:hAnsi="Arial" w:cs="Arial"/>
          <w:b/>
          <w:bCs/>
          <w:color w:val="333333"/>
          <w:sz w:val="16"/>
          <w:szCs w:val="16"/>
        </w:rPr>
        <w:t>capital market—the Bank of Israel’s calculation method</w:t>
      </w:r>
    </w:p>
    <w:p w:rsidR="00DA604B" w:rsidRPr="00DA604B" w:rsidRDefault="00DA604B" w:rsidP="00DA604B">
      <w:pPr>
        <w:bidi w:val="0"/>
        <w:spacing w:before="100" w:beforeAutospacing="1" w:after="100" w:afterAutospacing="1"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w:t>
      </w:r>
      <w:proofErr w:type="gramStart"/>
      <w:r w:rsidRPr="00DA604B">
        <w:rPr>
          <w:rFonts w:ascii="Arial" w:eastAsia="Times New Roman" w:hAnsi="Arial" w:cs="Arial"/>
          <w:b/>
          <w:bCs/>
          <w:color w:val="333333"/>
          <w:sz w:val="16"/>
          <w:szCs w:val="16"/>
        </w:rPr>
        <w:t>a</w:t>
      </w:r>
      <w:proofErr w:type="gramEnd"/>
      <w:r w:rsidRPr="00DA604B">
        <w:rPr>
          <w:rFonts w:ascii="Arial" w:eastAsia="Times New Roman" w:hAnsi="Arial" w:cs="Arial"/>
          <w:b/>
          <w:bCs/>
          <w:color w:val="333333"/>
          <w:sz w:val="16"/>
          <w:szCs w:val="16"/>
        </w:rPr>
        <w:t>.</w:t>
      </w:r>
      <w:r w:rsidRPr="00DA604B">
        <w:rPr>
          <w:rFonts w:ascii="Times New Roman" w:eastAsia="Times New Roman" w:hAnsi="Times New Roman" w:cs="Times New Roman"/>
          <w:b/>
          <w:bCs/>
          <w:color w:val="333333"/>
          <w:sz w:val="16"/>
          <w:szCs w:val="16"/>
        </w:rPr>
        <w:t>      </w:t>
      </w:r>
      <w:r w:rsidRPr="00DA604B">
        <w:rPr>
          <w:rFonts w:ascii="Arial" w:eastAsia="Times New Roman" w:hAnsi="Arial" w:cs="Arial"/>
          <w:b/>
          <w:bCs/>
          <w:color w:val="333333"/>
          <w:sz w:val="16"/>
          <w:szCs w:val="16"/>
        </w:rPr>
        <w:t>General</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Inflation expectations derived from capital market data (the break</w:t>
      </w:r>
      <w:r w:rsidR="005C291D">
        <w:rPr>
          <w:rFonts w:ascii="Arial" w:eastAsia="Times New Roman" w:hAnsi="Arial" w:cs="Arial"/>
          <w:color w:val="333333"/>
          <w:sz w:val="16"/>
          <w:szCs w:val="16"/>
        </w:rPr>
        <w:t>-</w:t>
      </w:r>
      <w:r w:rsidRPr="00DA604B">
        <w:rPr>
          <w:rFonts w:ascii="Arial" w:eastAsia="Times New Roman" w:hAnsi="Arial" w:cs="Arial"/>
          <w:color w:val="333333"/>
          <w:sz w:val="16"/>
          <w:szCs w:val="16"/>
        </w:rPr>
        <w:t>even inflation rate) are based on a conceptual equation developed by US economist Irving Fisher. According to the equation, the nominal interest rate is equal to the sum of the real interest rate plus inflation expectations. Based on this concept, inflation expectations can be derived from market data by calculating the difference between the yield to maturity on unindexed bonds, representing the nominal yield, and the yield on CPI-indexed bonds, representing the real yield. In such a calculation, it would be best if the two bonds were as similar as possible—to the extent that the only difference between them is whether or not they are indexed to the CPI.</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b/>
          <w:bCs/>
          <w:color w:val="333333"/>
          <w:sz w:val="16"/>
          <w:szCs w:val="16"/>
        </w:rPr>
        <w:t>b.</w:t>
      </w:r>
      <w:r w:rsidRPr="00DA604B">
        <w:rPr>
          <w:rFonts w:ascii="Times New Roman" w:eastAsia="Times New Roman" w:hAnsi="Times New Roman" w:cs="Times New Roman"/>
          <w:b/>
          <w:bCs/>
          <w:color w:val="333333"/>
          <w:sz w:val="16"/>
          <w:szCs w:val="16"/>
        </w:rPr>
        <w:t>      </w:t>
      </w:r>
      <w:r w:rsidRPr="00DA604B">
        <w:rPr>
          <w:rFonts w:ascii="Arial" w:eastAsia="Times New Roman" w:hAnsi="Arial" w:cs="Arial"/>
          <w:b/>
          <w:bCs/>
          <w:color w:val="333333"/>
          <w:sz w:val="16"/>
          <w:szCs w:val="16"/>
        </w:rPr>
        <w:t>Complications with implementing the method</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5C291D">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1.</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When inflation expectations are based on yield differentials, they include inflation risk premiums as well as biases deriving from differences in taxation and liquidity between different bond types.</w:t>
      </w:r>
    </w:p>
    <w:p w:rsidR="00DA604B" w:rsidRPr="00DA604B" w:rsidRDefault="00DA604B" w:rsidP="003E0382">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2.</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 xml:space="preserve">The small number of real bond series makes it difficult to assess the yield for </w:t>
      </w:r>
      <w:r w:rsidRPr="003E0382">
        <w:rPr>
          <w:rFonts w:ascii="Arial" w:eastAsia="Times New Roman" w:hAnsi="Arial" w:cs="Arial"/>
          <w:color w:val="333333"/>
          <w:sz w:val="16"/>
          <w:szCs w:val="16"/>
        </w:rPr>
        <w:t>fixed maturit</w:t>
      </w:r>
      <w:r w:rsidR="003E0382" w:rsidRPr="003E0382">
        <w:rPr>
          <w:rFonts w:ascii="Arial" w:eastAsia="Times New Roman" w:hAnsi="Arial" w:cs="Arial"/>
          <w:color w:val="333333"/>
          <w:sz w:val="16"/>
          <w:szCs w:val="16"/>
        </w:rPr>
        <w:t>y</w:t>
      </w:r>
      <w:r w:rsidR="003E0382">
        <w:rPr>
          <w:rFonts w:ascii="Arial" w:eastAsia="Times New Roman" w:hAnsi="Arial" w:cs="Arial"/>
          <w:color w:val="333333"/>
          <w:sz w:val="16"/>
          <w:szCs w:val="16"/>
        </w:rPr>
        <w:t xml:space="preserve"> ranges</w:t>
      </w:r>
      <w:r w:rsidRPr="00DA604B">
        <w:rPr>
          <w:rFonts w:ascii="Arial" w:eastAsia="Times New Roman" w:hAnsi="Arial" w:cs="Arial"/>
          <w:color w:val="333333"/>
          <w:sz w:val="16"/>
          <w:szCs w:val="16"/>
        </w:rPr>
        <w:t>.</w:t>
      </w:r>
    </w:p>
    <w:p w:rsidR="00DA604B" w:rsidRPr="00DA604B" w:rsidRDefault="00DA604B" w:rsidP="005C291D">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3.</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 xml:space="preserve">Indexation lags, and other biases deriving from the indexation mechanism, </w:t>
      </w:r>
      <w:r w:rsidR="005C291D">
        <w:rPr>
          <w:rFonts w:ascii="Arial" w:eastAsia="Times New Roman" w:hAnsi="Arial" w:cs="Arial"/>
          <w:color w:val="333333"/>
          <w:sz w:val="16"/>
          <w:szCs w:val="16"/>
        </w:rPr>
        <w:t>affect</w:t>
      </w:r>
      <w:r w:rsidRPr="00DA604B">
        <w:rPr>
          <w:rFonts w:ascii="Arial" w:eastAsia="Times New Roman" w:hAnsi="Arial" w:cs="Arial"/>
          <w:color w:val="333333"/>
          <w:sz w:val="16"/>
          <w:szCs w:val="16"/>
        </w:rPr>
        <w:t xml:space="preserve"> the calculation of the yield to maturity of CPI-indexed bonds. Therefore, yields calculated based on these bonds do not necessarily represent the real yield in the market.</w:t>
      </w:r>
      <w:bookmarkStart w:id="0" w:name="_ftnref1"/>
      <w:r w:rsidRPr="00DA604B">
        <w:rPr>
          <w:rFonts w:ascii="Arial" w:eastAsia="Times New Roman" w:hAnsi="Arial" w:cs="Arial"/>
          <w:color w:val="333333"/>
          <w:sz w:val="16"/>
          <w:szCs w:val="16"/>
        </w:rPr>
        <w:fldChar w:fldCharType="begin"/>
      </w:r>
      <w:r w:rsidRPr="00DA604B">
        <w:rPr>
          <w:rFonts w:ascii="Arial" w:eastAsia="Times New Roman" w:hAnsi="Arial" w:cs="Arial"/>
          <w:color w:val="333333"/>
          <w:sz w:val="16"/>
          <w:szCs w:val="16"/>
        </w:rPr>
        <w:instrText xml:space="preserve"> HYPERLINK "https://e.boi.org.il/en/DataAndStatistics/Pages/InflationExpectationsExplanation.aspx" \l "_ftn1" </w:instrText>
      </w:r>
      <w:r w:rsidRPr="00DA604B">
        <w:rPr>
          <w:rFonts w:ascii="Arial" w:eastAsia="Times New Roman" w:hAnsi="Arial" w:cs="Arial"/>
          <w:color w:val="333333"/>
          <w:sz w:val="16"/>
          <w:szCs w:val="16"/>
        </w:rPr>
        <w:fldChar w:fldCharType="separate"/>
      </w:r>
      <w:r w:rsidRPr="00DA604B">
        <w:rPr>
          <w:rFonts w:ascii="Times New Roman" w:eastAsia="Times New Roman" w:hAnsi="Times New Roman" w:cs="Times New Roman"/>
          <w:color w:val="000000"/>
          <w:sz w:val="16"/>
          <w:szCs w:val="16"/>
          <w:u w:val="single"/>
        </w:rPr>
        <w:t>[1]</w:t>
      </w:r>
      <w:r w:rsidRPr="00DA604B">
        <w:rPr>
          <w:rFonts w:ascii="Arial" w:eastAsia="Times New Roman" w:hAnsi="Arial" w:cs="Arial"/>
          <w:color w:val="333333"/>
          <w:sz w:val="16"/>
          <w:szCs w:val="16"/>
        </w:rPr>
        <w:fldChar w:fldCharType="end"/>
      </w:r>
      <w:bookmarkEnd w:id="0"/>
      <w:r w:rsidRPr="00DA604B">
        <w:rPr>
          <w:rFonts w:ascii="Arial" w:eastAsia="Times New Roman" w:hAnsi="Arial" w:cs="Arial"/>
          <w:color w:val="333333"/>
          <w:sz w:val="16"/>
          <w:szCs w:val="16"/>
        </w:rPr>
        <w:t xml:space="preserve"> To illustrate, when the real yield is calculated for a particular date, e.g., May </w:t>
      </w:r>
      <w:proofErr w:type="gramStart"/>
      <w:r w:rsidRPr="00DA604B">
        <w:rPr>
          <w:rFonts w:ascii="Arial" w:eastAsia="Times New Roman" w:hAnsi="Arial" w:cs="Arial"/>
          <w:color w:val="333333"/>
          <w:sz w:val="16"/>
          <w:szCs w:val="16"/>
        </w:rPr>
        <w:t>10</w:t>
      </w:r>
      <w:r w:rsidRPr="00DA604B">
        <w:rPr>
          <w:rFonts w:ascii="Arial" w:eastAsia="Times New Roman" w:hAnsi="Arial" w:cs="Arial"/>
          <w:color w:val="333333"/>
          <w:sz w:val="16"/>
          <w:szCs w:val="16"/>
          <w:vertAlign w:val="superscript"/>
        </w:rPr>
        <w:t>th</w:t>
      </w:r>
      <w:proofErr w:type="gramEnd"/>
      <w:r w:rsidRPr="00DA604B">
        <w:rPr>
          <w:rFonts w:ascii="Arial" w:eastAsia="Times New Roman" w:hAnsi="Arial" w:cs="Arial"/>
          <w:color w:val="333333"/>
          <w:sz w:val="16"/>
          <w:szCs w:val="16"/>
        </w:rPr>
        <w:t xml:space="preserve">, the repayment of principal and interest are priced on the basis of the known index, in this example, </w:t>
      </w:r>
      <w:r w:rsidR="005C291D">
        <w:rPr>
          <w:rFonts w:ascii="Arial" w:eastAsia="Times New Roman" w:hAnsi="Arial" w:cs="Arial"/>
          <w:color w:val="333333"/>
          <w:sz w:val="16"/>
          <w:szCs w:val="16"/>
        </w:rPr>
        <w:t xml:space="preserve">the one published </w:t>
      </w:r>
      <w:r w:rsidRPr="00DA604B">
        <w:rPr>
          <w:rFonts w:ascii="Arial" w:eastAsia="Times New Roman" w:hAnsi="Arial" w:cs="Arial"/>
          <w:color w:val="333333"/>
          <w:sz w:val="16"/>
          <w:szCs w:val="16"/>
        </w:rPr>
        <w:t>on April 15</w:t>
      </w:r>
      <w:r w:rsidRPr="00DA604B">
        <w:rPr>
          <w:rFonts w:ascii="Arial" w:eastAsia="Times New Roman" w:hAnsi="Arial" w:cs="Arial"/>
          <w:color w:val="333333"/>
          <w:sz w:val="16"/>
          <w:szCs w:val="16"/>
          <w:vertAlign w:val="superscript"/>
        </w:rPr>
        <w:t>th</w:t>
      </w:r>
      <w:r w:rsidRPr="00DA604B">
        <w:rPr>
          <w:rFonts w:ascii="Arial" w:eastAsia="Times New Roman" w:hAnsi="Arial" w:cs="Arial"/>
          <w:color w:val="333333"/>
          <w:sz w:val="16"/>
          <w:szCs w:val="16"/>
        </w:rPr>
        <w:t xml:space="preserve">, </w:t>
      </w:r>
      <w:r w:rsidR="005C291D">
        <w:rPr>
          <w:rFonts w:ascii="Arial" w:eastAsia="Times New Roman" w:hAnsi="Arial" w:cs="Arial"/>
          <w:color w:val="333333"/>
          <w:sz w:val="16"/>
          <w:szCs w:val="16"/>
        </w:rPr>
        <w:t>which</w:t>
      </w:r>
      <w:r w:rsidRPr="00DA604B">
        <w:rPr>
          <w:rFonts w:ascii="Arial" w:eastAsia="Times New Roman" w:hAnsi="Arial" w:cs="Arial"/>
          <w:color w:val="333333"/>
          <w:sz w:val="16"/>
          <w:szCs w:val="16"/>
        </w:rPr>
        <w:t xml:space="preserve"> reflects the average price level in March. However, it is </w:t>
      </w:r>
      <w:r w:rsidR="005C291D">
        <w:rPr>
          <w:rFonts w:ascii="Arial" w:eastAsia="Times New Roman" w:hAnsi="Arial" w:cs="Arial"/>
          <w:color w:val="333333"/>
          <w:sz w:val="16"/>
          <w:szCs w:val="16"/>
        </w:rPr>
        <w:t>likely</w:t>
      </w:r>
      <w:r w:rsidRPr="00DA604B">
        <w:rPr>
          <w:rFonts w:ascii="Arial" w:eastAsia="Times New Roman" w:hAnsi="Arial" w:cs="Arial"/>
          <w:color w:val="333333"/>
          <w:sz w:val="16"/>
          <w:szCs w:val="16"/>
        </w:rPr>
        <w:t xml:space="preserve"> that the investors who determine the price of bonds on May 10</w:t>
      </w:r>
      <w:r w:rsidRPr="00DA604B">
        <w:rPr>
          <w:rFonts w:ascii="Arial" w:eastAsia="Times New Roman" w:hAnsi="Arial" w:cs="Arial"/>
          <w:color w:val="333333"/>
          <w:sz w:val="16"/>
          <w:szCs w:val="16"/>
          <w:vertAlign w:val="superscript"/>
        </w:rPr>
        <w:t>th</w:t>
      </w:r>
      <w:r w:rsidRPr="00DA604B">
        <w:rPr>
          <w:rFonts w:ascii="Arial" w:eastAsia="Times New Roman" w:hAnsi="Arial" w:cs="Arial"/>
          <w:color w:val="333333"/>
          <w:sz w:val="16"/>
          <w:szCs w:val="16"/>
        </w:rPr>
        <w:t> take into account inflation that has occurred until that date, even though it has not yet been published. This would be the case especially if in the interim period a sharp change had taken place in one of the important factors that affect prices, such as the exchange rate. Likewise, the redemption of the bond—which also takes place according to the known index, i.e., that which was published on the 15th of the month—is indexed to the average price level of the month previous to the redemption date. Hence bonds do not provide full linkage to prices, and this must be taken into consideration when calculating the real yield.</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4.</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The seasonality in the CPI greatly affects the pricing of CPI-indexed bonds.</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b/>
          <w:bCs/>
          <w:color w:val="333333"/>
          <w:sz w:val="16"/>
          <w:szCs w:val="16"/>
        </w:rPr>
        <w:t>c.</w:t>
      </w:r>
      <w:r w:rsidRPr="00DA604B">
        <w:rPr>
          <w:rFonts w:ascii="Times New Roman" w:eastAsia="Times New Roman" w:hAnsi="Times New Roman" w:cs="Times New Roman"/>
          <w:b/>
          <w:bCs/>
          <w:color w:val="333333"/>
          <w:sz w:val="16"/>
          <w:szCs w:val="16"/>
        </w:rPr>
        <w:t>       </w:t>
      </w:r>
      <w:r w:rsidRPr="00DA604B">
        <w:rPr>
          <w:rFonts w:ascii="Arial" w:eastAsia="Times New Roman" w:hAnsi="Arial" w:cs="Arial"/>
          <w:b/>
          <w:bCs/>
          <w:color w:val="333333"/>
          <w:sz w:val="16"/>
          <w:szCs w:val="16"/>
        </w:rPr>
        <w:t>Dealing with the complications</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ED1B74">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1.</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 xml:space="preserve">The estimate of the inflation risk premium in Israel </w:t>
      </w:r>
      <w:proofErr w:type="gramStart"/>
      <w:r w:rsidRPr="00DA604B">
        <w:rPr>
          <w:rFonts w:ascii="Arial" w:eastAsia="Times New Roman" w:hAnsi="Arial" w:cs="Arial"/>
          <w:color w:val="333333"/>
          <w:sz w:val="16"/>
          <w:szCs w:val="16"/>
        </w:rPr>
        <w:t>is currently based</w:t>
      </w:r>
      <w:proofErr w:type="gramEnd"/>
      <w:r w:rsidRPr="00DA604B">
        <w:rPr>
          <w:rFonts w:ascii="Arial" w:eastAsia="Times New Roman" w:hAnsi="Arial" w:cs="Arial"/>
          <w:color w:val="333333"/>
          <w:sz w:val="16"/>
          <w:szCs w:val="16"/>
        </w:rPr>
        <w:t xml:space="preserve"> on two </w:t>
      </w:r>
      <w:r w:rsidR="005C291D">
        <w:rPr>
          <w:rFonts w:ascii="Arial" w:eastAsia="Times New Roman" w:hAnsi="Arial" w:cs="Arial"/>
          <w:color w:val="333333"/>
          <w:sz w:val="16"/>
          <w:szCs w:val="16"/>
        </w:rPr>
        <w:t>studies carried out in Israel</w:t>
      </w:r>
      <w:r w:rsidRPr="00DA604B">
        <w:rPr>
          <w:rFonts w:ascii="Arial" w:eastAsia="Times New Roman" w:hAnsi="Arial" w:cs="Arial"/>
          <w:color w:val="333333"/>
          <w:sz w:val="16"/>
          <w:szCs w:val="16"/>
        </w:rPr>
        <w:t>.</w:t>
      </w:r>
      <w:bookmarkStart w:id="1" w:name="_ftnref2"/>
      <w:r w:rsidRPr="00DA604B">
        <w:rPr>
          <w:rFonts w:ascii="Arial" w:eastAsia="Times New Roman" w:hAnsi="Arial" w:cs="Arial"/>
          <w:color w:val="333333"/>
          <w:sz w:val="16"/>
          <w:szCs w:val="16"/>
        </w:rPr>
        <w:fldChar w:fldCharType="begin"/>
      </w:r>
      <w:r w:rsidRPr="00DA604B">
        <w:rPr>
          <w:rFonts w:ascii="Arial" w:eastAsia="Times New Roman" w:hAnsi="Arial" w:cs="Arial"/>
          <w:color w:val="333333"/>
          <w:sz w:val="16"/>
          <w:szCs w:val="16"/>
        </w:rPr>
        <w:instrText xml:space="preserve"> HYPERLINK "https://e.boi.org.il/en/DataAndStatistics/Pages/InflationExpectationsExplanation.aspx" \l "_ftn2" </w:instrText>
      </w:r>
      <w:r w:rsidRPr="00DA604B">
        <w:rPr>
          <w:rFonts w:ascii="Arial" w:eastAsia="Times New Roman" w:hAnsi="Arial" w:cs="Arial"/>
          <w:color w:val="333333"/>
          <w:sz w:val="16"/>
          <w:szCs w:val="16"/>
        </w:rPr>
        <w:fldChar w:fldCharType="separate"/>
      </w:r>
      <w:r w:rsidRPr="00DA604B">
        <w:rPr>
          <w:rFonts w:ascii="Times New Roman" w:eastAsia="Times New Roman" w:hAnsi="Times New Roman" w:cs="Times New Roman"/>
          <w:color w:val="000000"/>
          <w:sz w:val="16"/>
          <w:szCs w:val="16"/>
          <w:u w:val="single"/>
        </w:rPr>
        <w:t>[2]</w:t>
      </w:r>
      <w:r w:rsidRPr="00DA604B">
        <w:rPr>
          <w:rFonts w:ascii="Arial" w:eastAsia="Times New Roman" w:hAnsi="Arial" w:cs="Arial"/>
          <w:color w:val="333333"/>
          <w:sz w:val="16"/>
          <w:szCs w:val="16"/>
        </w:rPr>
        <w:fldChar w:fldCharType="end"/>
      </w:r>
      <w:bookmarkEnd w:id="1"/>
      <w:r w:rsidRPr="00DA604B">
        <w:rPr>
          <w:rFonts w:ascii="Arial" w:eastAsia="Times New Roman" w:hAnsi="Arial" w:cs="Arial"/>
          <w:color w:val="333333"/>
          <w:sz w:val="16"/>
          <w:szCs w:val="16"/>
        </w:rPr>
        <w:t> According to these two papers, the risk premium varies from 25 to 40 basis points (while the commonly used estimate</w:t>
      </w:r>
      <w:r w:rsidR="005C291D">
        <w:rPr>
          <w:rFonts w:ascii="Arial" w:eastAsia="Times New Roman" w:hAnsi="Arial" w:cs="Arial"/>
          <w:color w:val="333333"/>
          <w:sz w:val="16"/>
          <w:szCs w:val="16"/>
        </w:rPr>
        <w:t xml:space="preserve"> abroad</w:t>
      </w:r>
      <w:r w:rsidRPr="00DA604B">
        <w:rPr>
          <w:rFonts w:ascii="Arial" w:eastAsia="Times New Roman" w:hAnsi="Arial" w:cs="Arial"/>
          <w:color w:val="333333"/>
          <w:sz w:val="16"/>
          <w:szCs w:val="16"/>
        </w:rPr>
        <w:t xml:space="preserve"> is around 20 basis points). Researchers </w:t>
      </w:r>
      <w:r w:rsidR="005C291D">
        <w:rPr>
          <w:rFonts w:ascii="Arial" w:eastAsia="Times New Roman" w:hAnsi="Arial" w:cs="Arial"/>
          <w:color w:val="333333"/>
          <w:sz w:val="16"/>
          <w:szCs w:val="16"/>
        </w:rPr>
        <w:t>at</w:t>
      </w:r>
      <w:r w:rsidRPr="00DA604B">
        <w:rPr>
          <w:rFonts w:ascii="Arial" w:eastAsia="Times New Roman" w:hAnsi="Arial" w:cs="Arial"/>
          <w:color w:val="333333"/>
          <w:sz w:val="16"/>
          <w:szCs w:val="16"/>
        </w:rPr>
        <w:t xml:space="preserve"> the Bank of Israel Research Department </w:t>
      </w:r>
      <w:r w:rsidR="00ED1B74">
        <w:rPr>
          <w:rFonts w:ascii="Arial" w:eastAsia="Times New Roman" w:hAnsi="Arial" w:cs="Arial"/>
          <w:color w:val="333333"/>
          <w:sz w:val="16"/>
          <w:szCs w:val="16"/>
        </w:rPr>
        <w:t>are</w:t>
      </w:r>
      <w:r w:rsidRPr="00DA604B">
        <w:rPr>
          <w:rFonts w:ascii="Arial" w:eastAsia="Times New Roman" w:hAnsi="Arial" w:cs="Arial"/>
          <w:color w:val="333333"/>
          <w:sz w:val="16"/>
          <w:szCs w:val="16"/>
        </w:rPr>
        <w:t xml:space="preserve"> develop</w:t>
      </w:r>
      <w:r w:rsidR="00ED1B74">
        <w:rPr>
          <w:rFonts w:ascii="Arial" w:eastAsia="Times New Roman" w:hAnsi="Arial" w:cs="Arial"/>
          <w:color w:val="333333"/>
          <w:sz w:val="16"/>
          <w:szCs w:val="16"/>
        </w:rPr>
        <w:t>ing</w:t>
      </w:r>
      <w:r w:rsidRPr="00DA604B">
        <w:rPr>
          <w:rFonts w:ascii="Arial" w:eastAsia="Times New Roman" w:hAnsi="Arial" w:cs="Arial"/>
          <w:color w:val="333333"/>
          <w:sz w:val="16"/>
          <w:szCs w:val="16"/>
        </w:rPr>
        <w:t xml:space="preserve"> models for ongoing assessment of the risk premium.</w:t>
      </w:r>
      <w:r w:rsidR="00ED1B74">
        <w:rPr>
          <w:rFonts w:ascii="Arial" w:eastAsia="Times New Roman" w:hAnsi="Arial" w:cs="Arial"/>
          <w:color w:val="333333"/>
          <w:sz w:val="16"/>
          <w:szCs w:val="16"/>
        </w:rPr>
        <w:t xml:space="preserve">  The bank of Israel’s calculation of inflation expectations does not contain a correction for the risk premium.</w:t>
      </w:r>
    </w:p>
    <w:p w:rsidR="00DA604B" w:rsidRPr="00DA604B" w:rsidRDefault="00DA604B" w:rsidP="00ED1B74">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2.</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 xml:space="preserve">Inflation expectations are based on the yield on the </w:t>
      </w:r>
      <w:r w:rsidR="00ED1B74">
        <w:rPr>
          <w:rFonts w:ascii="Arial" w:eastAsia="Times New Roman" w:hAnsi="Arial" w:cs="Arial"/>
          <w:color w:val="333333"/>
          <w:sz w:val="16"/>
          <w:szCs w:val="16"/>
        </w:rPr>
        <w:t>unindexed and indexed yields obtained from</w:t>
      </w:r>
      <w:r w:rsidRPr="00DA604B">
        <w:rPr>
          <w:rFonts w:ascii="Arial" w:eastAsia="Times New Roman" w:hAnsi="Arial" w:cs="Arial"/>
          <w:color w:val="333333"/>
          <w:sz w:val="16"/>
          <w:szCs w:val="16"/>
        </w:rPr>
        <w:t xml:space="preserve"> a nonparametric model of yield</w:t>
      </w:r>
      <w:r w:rsidR="00ED1B74">
        <w:rPr>
          <w:rFonts w:ascii="Arial" w:eastAsia="Times New Roman" w:hAnsi="Arial" w:cs="Arial"/>
          <w:color w:val="333333"/>
          <w:sz w:val="16"/>
          <w:szCs w:val="16"/>
        </w:rPr>
        <w:t>s</w:t>
      </w:r>
      <w:r w:rsidRPr="00DA604B">
        <w:rPr>
          <w:rFonts w:ascii="Arial" w:eastAsia="Times New Roman" w:hAnsi="Arial" w:cs="Arial"/>
          <w:color w:val="333333"/>
          <w:sz w:val="16"/>
          <w:szCs w:val="16"/>
        </w:rPr>
        <w:t xml:space="preserve">, which </w:t>
      </w:r>
      <w:r w:rsidR="00ED1B74">
        <w:rPr>
          <w:rFonts w:ascii="Arial" w:eastAsia="Times New Roman" w:hAnsi="Arial" w:cs="Arial"/>
          <w:color w:val="333333"/>
          <w:sz w:val="16"/>
          <w:szCs w:val="16"/>
        </w:rPr>
        <w:t>enables</w:t>
      </w:r>
      <w:r w:rsidRPr="00DA604B">
        <w:rPr>
          <w:rFonts w:ascii="Arial" w:eastAsia="Times New Roman" w:hAnsi="Arial" w:cs="Arial"/>
          <w:color w:val="333333"/>
          <w:sz w:val="16"/>
          <w:szCs w:val="16"/>
        </w:rPr>
        <w:t xml:space="preserve"> an estimat</w:t>
      </w:r>
      <w:r w:rsidR="00ED1B74">
        <w:rPr>
          <w:rFonts w:ascii="Arial" w:eastAsia="Times New Roman" w:hAnsi="Arial" w:cs="Arial"/>
          <w:color w:val="333333"/>
          <w:sz w:val="16"/>
          <w:szCs w:val="16"/>
        </w:rPr>
        <w:t>ion</w:t>
      </w:r>
      <w:r w:rsidRPr="00DA604B">
        <w:rPr>
          <w:rFonts w:ascii="Arial" w:eastAsia="Times New Roman" w:hAnsi="Arial" w:cs="Arial"/>
          <w:color w:val="333333"/>
          <w:sz w:val="16"/>
          <w:szCs w:val="16"/>
        </w:rPr>
        <w:t xml:space="preserve"> of the yield </w:t>
      </w:r>
      <w:r w:rsidR="00ED1B74">
        <w:rPr>
          <w:rFonts w:ascii="Arial" w:eastAsia="Times New Roman" w:hAnsi="Arial" w:cs="Arial"/>
          <w:color w:val="333333"/>
          <w:sz w:val="16"/>
          <w:szCs w:val="16"/>
        </w:rPr>
        <w:t xml:space="preserve">curve </w:t>
      </w:r>
      <w:r w:rsidRPr="00DA604B">
        <w:rPr>
          <w:rFonts w:ascii="Arial" w:eastAsia="Times New Roman" w:hAnsi="Arial" w:cs="Arial"/>
          <w:color w:val="333333"/>
          <w:sz w:val="16"/>
          <w:szCs w:val="16"/>
        </w:rPr>
        <w:t xml:space="preserve">to </w:t>
      </w:r>
      <w:r w:rsidR="00ED1B74">
        <w:rPr>
          <w:rFonts w:ascii="Arial" w:eastAsia="Times New Roman" w:hAnsi="Arial" w:cs="Arial"/>
          <w:color w:val="333333"/>
          <w:sz w:val="16"/>
          <w:szCs w:val="16"/>
        </w:rPr>
        <w:t>the desired horizons.  These can differ from the maturities used for the bonds</w:t>
      </w:r>
      <w:r w:rsidRPr="00DA604B">
        <w:rPr>
          <w:rFonts w:ascii="Arial" w:eastAsia="Times New Roman" w:hAnsi="Arial" w:cs="Arial"/>
          <w:color w:val="333333"/>
          <w:sz w:val="16"/>
          <w:szCs w:val="16"/>
        </w:rPr>
        <w:t>.</w:t>
      </w:r>
      <w:bookmarkStart w:id="2" w:name="_ftnref3"/>
      <w:r w:rsidRPr="00DA604B">
        <w:rPr>
          <w:rFonts w:ascii="Arial" w:eastAsia="Times New Roman" w:hAnsi="Arial" w:cs="Arial"/>
          <w:color w:val="333333"/>
          <w:sz w:val="16"/>
          <w:szCs w:val="16"/>
        </w:rPr>
        <w:fldChar w:fldCharType="begin"/>
      </w:r>
      <w:r w:rsidRPr="00DA604B">
        <w:rPr>
          <w:rFonts w:ascii="Arial" w:eastAsia="Times New Roman" w:hAnsi="Arial" w:cs="Arial"/>
          <w:color w:val="333333"/>
          <w:sz w:val="16"/>
          <w:szCs w:val="16"/>
        </w:rPr>
        <w:instrText xml:space="preserve"> HYPERLINK "https://e.boi.org.il/en/DataAndStatistics/Pages/InflationExpectationsExplanation.aspx" \l "_ftn3" </w:instrText>
      </w:r>
      <w:r w:rsidRPr="00DA604B">
        <w:rPr>
          <w:rFonts w:ascii="Arial" w:eastAsia="Times New Roman" w:hAnsi="Arial" w:cs="Arial"/>
          <w:color w:val="333333"/>
          <w:sz w:val="16"/>
          <w:szCs w:val="16"/>
        </w:rPr>
        <w:fldChar w:fldCharType="separate"/>
      </w:r>
      <w:r w:rsidRPr="00DA604B">
        <w:rPr>
          <w:rFonts w:ascii="Times New Roman" w:eastAsia="Times New Roman" w:hAnsi="Times New Roman" w:cs="Times New Roman"/>
          <w:color w:val="000000"/>
          <w:sz w:val="16"/>
          <w:szCs w:val="16"/>
          <w:u w:val="single"/>
        </w:rPr>
        <w:t>[3]</w:t>
      </w:r>
      <w:r w:rsidRPr="00DA604B">
        <w:rPr>
          <w:rFonts w:ascii="Arial" w:eastAsia="Times New Roman" w:hAnsi="Arial" w:cs="Arial"/>
          <w:color w:val="333333"/>
          <w:sz w:val="16"/>
          <w:szCs w:val="16"/>
        </w:rPr>
        <w:fldChar w:fldCharType="end"/>
      </w:r>
      <w:bookmarkEnd w:id="2"/>
      <w:r w:rsidR="00ED1B74" w:rsidRPr="00DA604B">
        <w:rPr>
          <w:rFonts w:ascii="Arial" w:eastAsia="Times New Roman" w:hAnsi="Arial" w:cs="Arial"/>
          <w:color w:val="333333"/>
          <w:sz w:val="16"/>
          <w:szCs w:val="16"/>
        </w:rPr>
        <w:t xml:space="preserve"> </w:t>
      </w:r>
    </w:p>
    <w:p w:rsidR="006D797E" w:rsidRDefault="00DA604B" w:rsidP="006D797E">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3.</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 xml:space="preserve">Since CPI-indexed bonds </w:t>
      </w:r>
      <w:r w:rsidR="006D797E">
        <w:rPr>
          <w:rFonts w:ascii="Arial" w:eastAsia="Times New Roman" w:hAnsi="Arial" w:cs="Arial"/>
          <w:color w:val="333333"/>
          <w:sz w:val="16"/>
          <w:szCs w:val="16"/>
        </w:rPr>
        <w:t>d</w:t>
      </w:r>
      <w:r w:rsidRPr="00DA604B">
        <w:rPr>
          <w:rFonts w:ascii="Arial" w:eastAsia="Times New Roman" w:hAnsi="Arial" w:cs="Arial"/>
          <w:color w:val="333333"/>
          <w:sz w:val="16"/>
          <w:szCs w:val="16"/>
        </w:rPr>
        <w:t xml:space="preserve">o not provide total linkage to the CPI, the yield to maturity on these bonds must be adjusted </w:t>
      </w:r>
      <w:r w:rsidR="006D797E">
        <w:rPr>
          <w:rFonts w:ascii="Arial" w:eastAsia="Times New Roman" w:hAnsi="Arial" w:cs="Arial"/>
          <w:color w:val="333333"/>
          <w:sz w:val="16"/>
          <w:szCs w:val="16"/>
        </w:rPr>
        <w:t>to properly reflect</w:t>
      </w:r>
      <w:r w:rsidRPr="00DA604B">
        <w:rPr>
          <w:rFonts w:ascii="Arial" w:eastAsia="Times New Roman" w:hAnsi="Arial" w:cs="Arial"/>
          <w:color w:val="333333"/>
          <w:sz w:val="16"/>
          <w:szCs w:val="16"/>
        </w:rPr>
        <w:t xml:space="preserve"> the appropriate real yield. That is achieved by dividing the term to maturity of each bond into three </w:t>
      </w:r>
      <w:proofErr w:type="spellStart"/>
      <w:r w:rsidRPr="00DA604B">
        <w:rPr>
          <w:rFonts w:ascii="Arial" w:eastAsia="Times New Roman" w:hAnsi="Arial" w:cs="Arial"/>
          <w:color w:val="333333"/>
          <w:sz w:val="16"/>
          <w:szCs w:val="16"/>
        </w:rPr>
        <w:t>subperiods</w:t>
      </w:r>
      <w:proofErr w:type="spellEnd"/>
      <w:r w:rsidRPr="00DA604B">
        <w:rPr>
          <w:rFonts w:ascii="Arial" w:eastAsia="Times New Roman" w:hAnsi="Arial" w:cs="Arial"/>
          <w:color w:val="333333"/>
          <w:sz w:val="16"/>
          <w:szCs w:val="16"/>
        </w:rPr>
        <w:t>: (</w:t>
      </w:r>
      <w:proofErr w:type="spellStart"/>
      <w:r w:rsidRPr="00DA604B">
        <w:rPr>
          <w:rFonts w:ascii="Arial" w:eastAsia="Times New Roman" w:hAnsi="Arial" w:cs="Arial"/>
          <w:color w:val="333333"/>
          <w:sz w:val="16"/>
          <w:szCs w:val="16"/>
        </w:rPr>
        <w:t>i</w:t>
      </w:r>
      <w:proofErr w:type="spellEnd"/>
      <w:r w:rsidRPr="00DA604B">
        <w:rPr>
          <w:rFonts w:ascii="Arial" w:eastAsia="Times New Roman" w:hAnsi="Arial" w:cs="Arial"/>
          <w:color w:val="333333"/>
          <w:sz w:val="16"/>
          <w:szCs w:val="16"/>
        </w:rPr>
        <w:t xml:space="preserve">) </w:t>
      </w:r>
      <w:proofErr w:type="gramStart"/>
      <w:r w:rsidR="006D797E">
        <w:rPr>
          <w:rFonts w:ascii="Arial" w:eastAsia="Times New Roman" w:hAnsi="Arial" w:cs="Arial"/>
          <w:color w:val="333333"/>
          <w:sz w:val="16"/>
          <w:szCs w:val="16"/>
        </w:rPr>
        <w:t>T</w:t>
      </w:r>
      <w:r w:rsidRPr="00DA604B">
        <w:rPr>
          <w:rFonts w:ascii="Arial" w:eastAsia="Times New Roman" w:hAnsi="Arial" w:cs="Arial"/>
          <w:color w:val="333333"/>
          <w:sz w:val="16"/>
          <w:szCs w:val="16"/>
        </w:rPr>
        <w:t>he</w:t>
      </w:r>
      <w:proofErr w:type="gramEnd"/>
      <w:r w:rsidRPr="00DA604B">
        <w:rPr>
          <w:rFonts w:ascii="Arial" w:eastAsia="Times New Roman" w:hAnsi="Arial" w:cs="Arial"/>
          <w:color w:val="333333"/>
          <w:sz w:val="16"/>
          <w:szCs w:val="16"/>
        </w:rPr>
        <w:t xml:space="preserve"> immediate period, in which there is a change in the CPI</w:t>
      </w:r>
      <w:r w:rsidR="006D797E">
        <w:rPr>
          <w:rFonts w:ascii="Arial" w:eastAsia="Times New Roman" w:hAnsi="Arial" w:cs="Arial"/>
          <w:color w:val="333333"/>
          <w:sz w:val="16"/>
          <w:szCs w:val="16"/>
        </w:rPr>
        <w:t xml:space="preserve"> that</w:t>
      </w:r>
      <w:r w:rsidRPr="00DA604B">
        <w:rPr>
          <w:rFonts w:ascii="Arial" w:eastAsia="Times New Roman" w:hAnsi="Arial" w:cs="Arial"/>
          <w:color w:val="333333"/>
          <w:sz w:val="16"/>
          <w:szCs w:val="16"/>
        </w:rPr>
        <w:t xml:space="preserve"> has not yet been published at the time the inflation expectations are calculated</w:t>
      </w:r>
      <w:r w:rsidR="006D797E">
        <w:rPr>
          <w:rFonts w:ascii="Arial" w:eastAsia="Times New Roman" w:hAnsi="Arial" w:cs="Arial"/>
          <w:color w:val="333333"/>
          <w:sz w:val="16"/>
          <w:szCs w:val="16"/>
        </w:rPr>
        <w:t>.</w:t>
      </w:r>
      <w:r w:rsidRPr="00DA604B">
        <w:rPr>
          <w:rFonts w:ascii="Arial" w:eastAsia="Times New Roman" w:hAnsi="Arial" w:cs="Arial"/>
          <w:color w:val="333333"/>
          <w:sz w:val="16"/>
          <w:szCs w:val="16"/>
        </w:rPr>
        <w:t xml:space="preserve"> </w:t>
      </w:r>
      <w:r w:rsidR="006D797E">
        <w:rPr>
          <w:rFonts w:ascii="Arial" w:eastAsia="Times New Roman" w:hAnsi="Arial" w:cs="Arial"/>
          <w:color w:val="333333"/>
          <w:sz w:val="16"/>
          <w:szCs w:val="16"/>
        </w:rPr>
        <w:t>T</w:t>
      </w:r>
      <w:r w:rsidRPr="00DA604B">
        <w:rPr>
          <w:rFonts w:ascii="Arial" w:eastAsia="Times New Roman" w:hAnsi="Arial" w:cs="Arial"/>
          <w:color w:val="333333"/>
          <w:sz w:val="16"/>
          <w:szCs w:val="16"/>
        </w:rPr>
        <w:t>he estimate of the change that occurred but has not yet</w:t>
      </w:r>
      <w:r w:rsidR="006D797E">
        <w:rPr>
          <w:rFonts w:ascii="Arial" w:eastAsia="Times New Roman" w:hAnsi="Arial" w:cs="Arial"/>
          <w:color w:val="333333"/>
          <w:sz w:val="16"/>
          <w:szCs w:val="16"/>
        </w:rPr>
        <w:t xml:space="preserve"> been</w:t>
      </w:r>
      <w:r w:rsidRPr="00DA604B">
        <w:rPr>
          <w:rFonts w:ascii="Arial" w:eastAsia="Times New Roman" w:hAnsi="Arial" w:cs="Arial"/>
          <w:color w:val="333333"/>
          <w:sz w:val="16"/>
          <w:szCs w:val="16"/>
        </w:rPr>
        <w:t xml:space="preserve"> published is based on the average </w:t>
      </w:r>
      <w:r w:rsidR="006D797E">
        <w:rPr>
          <w:rFonts w:ascii="Arial" w:eastAsia="Times New Roman" w:hAnsi="Arial" w:cs="Arial"/>
          <w:color w:val="333333"/>
          <w:sz w:val="16"/>
          <w:szCs w:val="16"/>
        </w:rPr>
        <w:t>projections</w:t>
      </w:r>
      <w:r w:rsidRPr="00DA604B">
        <w:rPr>
          <w:rFonts w:ascii="Arial" w:eastAsia="Times New Roman" w:hAnsi="Arial" w:cs="Arial"/>
          <w:color w:val="333333"/>
          <w:sz w:val="16"/>
          <w:szCs w:val="16"/>
        </w:rPr>
        <w:t xml:space="preserve"> of </w:t>
      </w:r>
      <w:r w:rsidR="006D797E">
        <w:rPr>
          <w:rFonts w:ascii="Arial" w:eastAsia="Times New Roman" w:hAnsi="Arial" w:cs="Arial"/>
          <w:color w:val="333333"/>
          <w:sz w:val="16"/>
          <w:szCs w:val="16"/>
        </w:rPr>
        <w:t>professional forecasters</w:t>
      </w:r>
      <w:r w:rsidRPr="00DA604B">
        <w:rPr>
          <w:rFonts w:ascii="Arial" w:eastAsia="Times New Roman" w:hAnsi="Arial" w:cs="Arial"/>
          <w:color w:val="333333"/>
          <w:sz w:val="16"/>
          <w:szCs w:val="16"/>
        </w:rPr>
        <w:t xml:space="preserve"> that publish their forecasts on a regular basis</w:t>
      </w:r>
      <w:r w:rsidR="006D797E">
        <w:rPr>
          <w:rFonts w:ascii="Arial" w:eastAsia="Times New Roman" w:hAnsi="Arial" w:cs="Arial"/>
          <w:color w:val="333333"/>
          <w:sz w:val="16"/>
          <w:szCs w:val="16"/>
        </w:rPr>
        <w:t>.</w:t>
      </w:r>
      <w:r w:rsidRPr="00DA604B">
        <w:rPr>
          <w:rFonts w:ascii="Arial" w:eastAsia="Times New Roman" w:hAnsi="Arial" w:cs="Arial"/>
          <w:color w:val="333333"/>
          <w:sz w:val="16"/>
          <w:szCs w:val="16"/>
        </w:rPr>
        <w:t xml:space="preserve"> </w:t>
      </w:r>
    </w:p>
    <w:p w:rsidR="006D797E" w:rsidRDefault="00DA604B" w:rsidP="006D797E">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xml:space="preserve">(ii) </w:t>
      </w:r>
      <w:r w:rsidR="006D797E">
        <w:rPr>
          <w:rFonts w:ascii="Arial" w:eastAsia="Times New Roman" w:hAnsi="Arial" w:cs="Arial"/>
          <w:color w:val="333333"/>
          <w:sz w:val="16"/>
          <w:szCs w:val="16"/>
        </w:rPr>
        <w:t>T</w:t>
      </w:r>
      <w:r w:rsidRPr="00DA604B">
        <w:rPr>
          <w:rFonts w:ascii="Arial" w:eastAsia="Times New Roman" w:hAnsi="Arial" w:cs="Arial"/>
          <w:color w:val="333333"/>
          <w:sz w:val="16"/>
          <w:szCs w:val="16"/>
        </w:rPr>
        <w:t>he intermediate period</w:t>
      </w:r>
      <w:r w:rsidR="006D797E">
        <w:rPr>
          <w:rFonts w:ascii="Arial" w:eastAsia="Times New Roman" w:hAnsi="Arial" w:cs="Arial"/>
          <w:color w:val="333333"/>
          <w:sz w:val="16"/>
          <w:szCs w:val="16"/>
        </w:rPr>
        <w:t>,</w:t>
      </w:r>
      <w:r w:rsidRPr="00DA604B">
        <w:rPr>
          <w:rFonts w:ascii="Arial" w:eastAsia="Times New Roman" w:hAnsi="Arial" w:cs="Arial"/>
          <w:color w:val="333333"/>
          <w:sz w:val="16"/>
          <w:szCs w:val="16"/>
        </w:rPr>
        <w:t xml:space="preserve"> in which the bond affords full compensation for the change in the CPI; </w:t>
      </w:r>
      <w:r w:rsidR="006D797E">
        <w:rPr>
          <w:rFonts w:ascii="Arial" w:eastAsia="Times New Roman" w:hAnsi="Arial" w:cs="Arial"/>
          <w:color w:val="333333"/>
          <w:sz w:val="16"/>
          <w:szCs w:val="16"/>
        </w:rPr>
        <w:t>and</w:t>
      </w:r>
    </w:p>
    <w:p w:rsidR="00DA604B" w:rsidRPr="00DA604B" w:rsidRDefault="00DA604B" w:rsidP="006D797E">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xml:space="preserve">(iii) </w:t>
      </w:r>
      <w:r w:rsidR="006D797E">
        <w:rPr>
          <w:rFonts w:ascii="Arial" w:eastAsia="Times New Roman" w:hAnsi="Arial" w:cs="Arial"/>
          <w:color w:val="333333"/>
          <w:sz w:val="16"/>
          <w:szCs w:val="16"/>
        </w:rPr>
        <w:t>T</w:t>
      </w:r>
      <w:r w:rsidRPr="00DA604B">
        <w:rPr>
          <w:rFonts w:ascii="Arial" w:eastAsia="Times New Roman" w:hAnsi="Arial" w:cs="Arial"/>
          <w:color w:val="333333"/>
          <w:sz w:val="16"/>
          <w:szCs w:val="16"/>
        </w:rPr>
        <w:t>he period close to maturity, in which there is no compensation for the change in the CPI beyond the known CPI value</w:t>
      </w:r>
      <w:r w:rsidR="006D797E">
        <w:rPr>
          <w:rFonts w:ascii="Arial" w:eastAsia="Times New Roman" w:hAnsi="Arial" w:cs="Arial"/>
          <w:color w:val="333333"/>
          <w:sz w:val="16"/>
          <w:szCs w:val="16"/>
        </w:rPr>
        <w:t>.</w:t>
      </w:r>
      <w:r w:rsidRPr="00DA604B">
        <w:rPr>
          <w:rFonts w:ascii="Arial" w:eastAsia="Times New Roman" w:hAnsi="Arial" w:cs="Arial"/>
          <w:color w:val="333333"/>
          <w:sz w:val="16"/>
          <w:szCs w:val="16"/>
        </w:rPr>
        <w:t xml:space="preserve"> </w:t>
      </w:r>
      <w:r w:rsidR="006D797E">
        <w:rPr>
          <w:rFonts w:ascii="Arial" w:eastAsia="Times New Roman" w:hAnsi="Arial" w:cs="Arial"/>
          <w:color w:val="333333"/>
          <w:sz w:val="16"/>
          <w:szCs w:val="16"/>
        </w:rPr>
        <w:t>During this period,</w:t>
      </w:r>
      <w:r w:rsidRPr="00DA604B">
        <w:rPr>
          <w:rFonts w:ascii="Arial" w:eastAsia="Times New Roman" w:hAnsi="Arial" w:cs="Arial"/>
          <w:color w:val="333333"/>
          <w:sz w:val="16"/>
          <w:szCs w:val="16"/>
        </w:rPr>
        <w:t xml:space="preserve"> the bond may be defined as a nominal one and </w:t>
      </w:r>
      <w:r w:rsidR="006D797E">
        <w:rPr>
          <w:rFonts w:ascii="Arial" w:eastAsia="Times New Roman" w:hAnsi="Arial" w:cs="Arial"/>
          <w:color w:val="333333"/>
          <w:sz w:val="16"/>
          <w:szCs w:val="16"/>
        </w:rPr>
        <w:t>the</w:t>
      </w:r>
      <w:r w:rsidRPr="00DA604B">
        <w:rPr>
          <w:rFonts w:ascii="Arial" w:eastAsia="Times New Roman" w:hAnsi="Arial" w:cs="Arial"/>
          <w:color w:val="333333"/>
          <w:sz w:val="16"/>
          <w:szCs w:val="16"/>
        </w:rPr>
        <w:t xml:space="preserve"> nominal value </w:t>
      </w:r>
      <w:r w:rsidR="006D797E">
        <w:rPr>
          <w:rFonts w:ascii="Arial" w:eastAsia="Times New Roman" w:hAnsi="Arial" w:cs="Arial"/>
          <w:color w:val="333333"/>
          <w:sz w:val="16"/>
          <w:szCs w:val="16"/>
        </w:rPr>
        <w:t>of</w:t>
      </w:r>
      <w:r w:rsidRPr="00DA604B">
        <w:rPr>
          <w:rFonts w:ascii="Arial" w:eastAsia="Times New Roman" w:hAnsi="Arial" w:cs="Arial"/>
          <w:color w:val="333333"/>
          <w:sz w:val="16"/>
          <w:szCs w:val="16"/>
        </w:rPr>
        <w:t xml:space="preserve"> th</w:t>
      </w:r>
      <w:r w:rsidR="006D797E">
        <w:rPr>
          <w:rFonts w:ascii="Arial" w:eastAsia="Times New Roman" w:hAnsi="Arial" w:cs="Arial"/>
          <w:color w:val="333333"/>
          <w:sz w:val="16"/>
          <w:szCs w:val="16"/>
        </w:rPr>
        <w:t>is short</w:t>
      </w:r>
      <w:r w:rsidRPr="00DA604B">
        <w:rPr>
          <w:rFonts w:ascii="Arial" w:eastAsia="Times New Roman" w:hAnsi="Arial" w:cs="Arial"/>
          <w:color w:val="333333"/>
          <w:sz w:val="16"/>
          <w:szCs w:val="16"/>
        </w:rPr>
        <w:t xml:space="preserve"> period can be subtracted from the price of the bond. </w:t>
      </w:r>
    </w:p>
    <w:p w:rsidR="00DA604B" w:rsidRPr="00DA604B" w:rsidRDefault="00DA604B" w:rsidP="003E0382">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4.</w:t>
      </w:r>
      <w:r w:rsidRPr="00DA604B">
        <w:rPr>
          <w:rFonts w:ascii="Times New Roman" w:eastAsia="Times New Roman" w:hAnsi="Times New Roman" w:cs="Times New Roman"/>
          <w:color w:val="333333"/>
          <w:sz w:val="16"/>
          <w:szCs w:val="16"/>
        </w:rPr>
        <w:t>      </w:t>
      </w:r>
      <w:r w:rsidRPr="00DA604B">
        <w:rPr>
          <w:rFonts w:ascii="Arial" w:eastAsia="Times New Roman" w:hAnsi="Arial" w:cs="Arial"/>
          <w:color w:val="333333"/>
          <w:sz w:val="16"/>
          <w:szCs w:val="16"/>
        </w:rPr>
        <w:t xml:space="preserve">The effect of seasonality in the CPI is seen when the terms to maturity of CPI-indexed bonds are not complete years. In effect, most of the time bonds do not trade with complete years to maturity, so the yields to maturity on existing series </w:t>
      </w:r>
      <w:proofErr w:type="gramStart"/>
      <w:r w:rsidRPr="00DA604B">
        <w:rPr>
          <w:rFonts w:ascii="Arial" w:eastAsia="Times New Roman" w:hAnsi="Arial" w:cs="Arial"/>
          <w:color w:val="333333"/>
          <w:sz w:val="16"/>
          <w:szCs w:val="16"/>
        </w:rPr>
        <w:t>must be converted</w:t>
      </w:r>
      <w:proofErr w:type="gramEnd"/>
      <w:r w:rsidRPr="00DA604B">
        <w:rPr>
          <w:rFonts w:ascii="Arial" w:eastAsia="Times New Roman" w:hAnsi="Arial" w:cs="Arial"/>
          <w:color w:val="333333"/>
          <w:sz w:val="16"/>
          <w:szCs w:val="16"/>
        </w:rPr>
        <w:t xml:space="preserve"> into annual terms, while taking into account the seasonal factors included in price indices </w:t>
      </w:r>
      <w:r w:rsidR="003E0382">
        <w:rPr>
          <w:rFonts w:ascii="Arial" w:eastAsia="Times New Roman" w:hAnsi="Arial" w:cs="Arial"/>
          <w:color w:val="333333"/>
          <w:sz w:val="16"/>
          <w:szCs w:val="16"/>
        </w:rPr>
        <w:t>that will</w:t>
      </w:r>
      <w:r w:rsidRPr="00DA604B">
        <w:rPr>
          <w:rFonts w:ascii="Arial" w:eastAsia="Times New Roman" w:hAnsi="Arial" w:cs="Arial"/>
          <w:color w:val="333333"/>
          <w:sz w:val="16"/>
          <w:szCs w:val="16"/>
        </w:rPr>
        <w:t xml:space="preserve"> be published over the lifetime of each bond series (the intermediate period, as defined in the previous section).</w:t>
      </w:r>
      <w:bookmarkStart w:id="3" w:name="_ftnref5"/>
      <w:r w:rsidRPr="00DA604B">
        <w:rPr>
          <w:rFonts w:ascii="Arial" w:eastAsia="Times New Roman" w:hAnsi="Arial" w:cs="Arial"/>
          <w:color w:val="333333"/>
          <w:sz w:val="16"/>
          <w:szCs w:val="16"/>
        </w:rPr>
        <w:fldChar w:fldCharType="begin"/>
      </w:r>
      <w:r w:rsidRPr="00DA604B">
        <w:rPr>
          <w:rFonts w:ascii="Arial" w:eastAsia="Times New Roman" w:hAnsi="Arial" w:cs="Arial"/>
          <w:color w:val="333333"/>
          <w:sz w:val="16"/>
          <w:szCs w:val="16"/>
        </w:rPr>
        <w:instrText xml:space="preserve"> HYPERLINK "https://e.boi.org.il/en/DataAndStatistics/Pages/InflationExpectationsExplanation.aspx" \l "_ftn5" </w:instrText>
      </w:r>
      <w:r w:rsidRPr="00DA604B">
        <w:rPr>
          <w:rFonts w:ascii="Arial" w:eastAsia="Times New Roman" w:hAnsi="Arial" w:cs="Arial"/>
          <w:color w:val="333333"/>
          <w:sz w:val="16"/>
          <w:szCs w:val="16"/>
        </w:rPr>
        <w:fldChar w:fldCharType="separate"/>
      </w:r>
      <w:r w:rsidRPr="00DA604B">
        <w:rPr>
          <w:rFonts w:ascii="Times New Roman" w:eastAsia="Times New Roman" w:hAnsi="Times New Roman" w:cs="Times New Roman"/>
          <w:color w:val="000000"/>
          <w:sz w:val="16"/>
          <w:szCs w:val="16"/>
          <w:u w:val="single"/>
        </w:rPr>
        <w:t>[</w:t>
      </w:r>
      <w:r w:rsidR="003E0382">
        <w:rPr>
          <w:rFonts w:ascii="Times New Roman" w:eastAsia="Times New Roman" w:hAnsi="Times New Roman" w:cs="Times New Roman"/>
          <w:color w:val="000000"/>
          <w:sz w:val="16"/>
          <w:szCs w:val="16"/>
          <w:u w:val="single"/>
        </w:rPr>
        <w:t>4</w:t>
      </w:r>
      <w:r w:rsidRPr="00DA604B">
        <w:rPr>
          <w:rFonts w:ascii="Times New Roman" w:eastAsia="Times New Roman" w:hAnsi="Times New Roman" w:cs="Times New Roman"/>
          <w:color w:val="000000"/>
          <w:sz w:val="16"/>
          <w:szCs w:val="16"/>
          <w:u w:val="single"/>
        </w:rPr>
        <w:t>]</w:t>
      </w:r>
      <w:r w:rsidRPr="00DA604B">
        <w:rPr>
          <w:rFonts w:ascii="Arial" w:eastAsia="Times New Roman" w:hAnsi="Arial" w:cs="Arial"/>
          <w:color w:val="333333"/>
          <w:sz w:val="16"/>
          <w:szCs w:val="16"/>
        </w:rPr>
        <w:fldChar w:fldCharType="end"/>
      </w:r>
      <w:bookmarkEnd w:id="3"/>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3E0382">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xml:space="preserve">The detailed equations used to perform the calculations appear in </w:t>
      </w:r>
      <w:proofErr w:type="spellStart"/>
      <w:r w:rsidRPr="00DA604B">
        <w:rPr>
          <w:rFonts w:ascii="Arial" w:eastAsia="Times New Roman" w:hAnsi="Arial" w:cs="Arial"/>
          <w:color w:val="333333"/>
          <w:sz w:val="16"/>
          <w:szCs w:val="16"/>
        </w:rPr>
        <w:t>Zvi</w:t>
      </w:r>
      <w:proofErr w:type="spellEnd"/>
      <w:r w:rsidRPr="00DA604B">
        <w:rPr>
          <w:rFonts w:ascii="Arial" w:eastAsia="Times New Roman" w:hAnsi="Arial" w:cs="Arial"/>
          <w:color w:val="333333"/>
          <w:sz w:val="16"/>
          <w:szCs w:val="16"/>
        </w:rPr>
        <w:t xml:space="preserve"> Wiener and Helena </w:t>
      </w:r>
      <w:proofErr w:type="spellStart"/>
      <w:r w:rsidRPr="00DA604B">
        <w:rPr>
          <w:rFonts w:ascii="Arial" w:eastAsia="Times New Roman" w:hAnsi="Arial" w:cs="Arial"/>
          <w:color w:val="333333"/>
          <w:sz w:val="16"/>
          <w:szCs w:val="16"/>
        </w:rPr>
        <w:t>Pomposhko</w:t>
      </w:r>
      <w:proofErr w:type="spellEnd"/>
      <w:r w:rsidRPr="00DA604B">
        <w:rPr>
          <w:rFonts w:ascii="Arial" w:eastAsia="Times New Roman" w:hAnsi="Arial" w:cs="Arial"/>
          <w:color w:val="333333"/>
          <w:sz w:val="16"/>
          <w:szCs w:val="16"/>
        </w:rPr>
        <w:t>, “</w:t>
      </w:r>
      <w:hyperlink r:id="rId4" w:history="1">
        <w:r w:rsidRPr="00DA604B">
          <w:rPr>
            <w:rFonts w:ascii="Arial" w:eastAsia="Times New Roman" w:hAnsi="Arial" w:cs="Arial"/>
            <w:color w:val="0072BC"/>
            <w:sz w:val="16"/>
            <w:szCs w:val="16"/>
            <w:u w:val="single"/>
          </w:rPr>
          <w:t>The Estimation of Nominal and Real Yield Curves from Government Bonds in Israel</w:t>
        </w:r>
      </w:hyperlink>
      <w:r w:rsidRPr="00DA604B">
        <w:rPr>
          <w:rFonts w:ascii="Arial" w:eastAsia="Times New Roman" w:hAnsi="Arial" w:cs="Arial"/>
          <w:color w:val="333333"/>
          <w:sz w:val="16"/>
          <w:szCs w:val="16"/>
        </w:rPr>
        <w:t>,” Monetary Studies 2006.03, Bank of Israel, Monetary Department Discussion Paper Series, June 2006.</w:t>
      </w:r>
    </w:p>
    <w:p w:rsidR="00DA604B" w:rsidRPr="00DA604B" w:rsidRDefault="00DA604B" w:rsidP="00DA604B">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t> </w:t>
      </w:r>
    </w:p>
    <w:p w:rsidR="00DA604B" w:rsidRPr="00DA604B" w:rsidRDefault="00DA604B" w:rsidP="00DA604B">
      <w:pPr>
        <w:bidi w:val="0"/>
        <w:spacing w:after="0" w:line="240" w:lineRule="auto"/>
        <w:rPr>
          <w:rFonts w:ascii="Arial" w:eastAsia="Times New Roman" w:hAnsi="Arial" w:cs="Arial"/>
          <w:color w:val="333333"/>
          <w:sz w:val="16"/>
          <w:szCs w:val="16"/>
        </w:rPr>
      </w:pPr>
    </w:p>
    <w:p w:rsidR="00DA604B" w:rsidRPr="00DA604B" w:rsidRDefault="003A2615" w:rsidP="00DA604B">
      <w:pPr>
        <w:bidi w:val="0"/>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pict>
          <v:rect id="_x0000_i1025" style="width:446.8pt;height:2.25pt" o:hrpct="990" o:hrstd="t" o:hrnoshade="t" o:hr="t" fillcolor="#039" stroked="f"/>
        </w:pict>
      </w:r>
    </w:p>
    <w:bookmarkStart w:id="4" w:name="_ftn1"/>
    <w:p w:rsidR="00DA604B" w:rsidRPr="00DA604B" w:rsidRDefault="00DA604B" w:rsidP="005C291D">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fldChar w:fldCharType="begin"/>
      </w:r>
      <w:r w:rsidRPr="00DA604B">
        <w:rPr>
          <w:rFonts w:ascii="Arial" w:eastAsia="Times New Roman" w:hAnsi="Arial" w:cs="Arial"/>
          <w:color w:val="333333"/>
          <w:sz w:val="16"/>
          <w:szCs w:val="16"/>
        </w:rPr>
        <w:instrText xml:space="preserve"> HYPERLINK "https://e.boi.org.il/en/DataAndStatistics/Pages/InflationExpectationsExplanation.aspx" \l "_ftnref1" </w:instrText>
      </w:r>
      <w:r w:rsidRPr="00DA604B">
        <w:rPr>
          <w:rFonts w:ascii="Arial" w:eastAsia="Times New Roman" w:hAnsi="Arial" w:cs="Arial"/>
          <w:color w:val="333333"/>
          <w:sz w:val="16"/>
          <w:szCs w:val="16"/>
        </w:rPr>
        <w:fldChar w:fldCharType="separate"/>
      </w:r>
      <w:r w:rsidRPr="00DA604B">
        <w:rPr>
          <w:rFonts w:ascii="Times New Roman" w:eastAsia="Times New Roman" w:hAnsi="Times New Roman" w:cs="Times New Roman"/>
          <w:color w:val="000000"/>
          <w:sz w:val="16"/>
          <w:szCs w:val="16"/>
          <w:u w:val="single"/>
        </w:rPr>
        <w:t>[1]</w:t>
      </w:r>
      <w:r w:rsidRPr="00DA604B">
        <w:rPr>
          <w:rFonts w:ascii="Arial" w:eastAsia="Times New Roman" w:hAnsi="Arial" w:cs="Arial"/>
          <w:color w:val="333333"/>
          <w:sz w:val="16"/>
          <w:szCs w:val="16"/>
        </w:rPr>
        <w:fldChar w:fldCharType="end"/>
      </w:r>
      <w:bookmarkEnd w:id="4"/>
      <w:r w:rsidRPr="00DA604B">
        <w:rPr>
          <w:rFonts w:ascii="Arial" w:eastAsia="Times New Roman" w:hAnsi="Arial" w:cs="Arial"/>
          <w:color w:val="333333"/>
          <w:sz w:val="16"/>
          <w:szCs w:val="16"/>
        </w:rPr>
        <w:t> Th</w:t>
      </w:r>
      <w:r w:rsidR="005C291D">
        <w:rPr>
          <w:rFonts w:ascii="Arial" w:eastAsia="Times New Roman" w:hAnsi="Arial" w:cs="Arial"/>
          <w:color w:val="333333"/>
          <w:sz w:val="16"/>
          <w:szCs w:val="16"/>
        </w:rPr>
        <w:t>is</w:t>
      </w:r>
      <w:r w:rsidRPr="00DA604B">
        <w:rPr>
          <w:rFonts w:ascii="Arial" w:eastAsia="Times New Roman" w:hAnsi="Arial" w:cs="Arial"/>
          <w:color w:val="333333"/>
          <w:sz w:val="16"/>
          <w:szCs w:val="16"/>
        </w:rPr>
        <w:t xml:space="preserve"> situation </w:t>
      </w:r>
      <w:proofErr w:type="gramStart"/>
      <w:r w:rsidR="005C291D">
        <w:rPr>
          <w:rFonts w:ascii="Arial" w:eastAsia="Times New Roman" w:hAnsi="Arial" w:cs="Arial"/>
          <w:color w:val="333333"/>
          <w:sz w:val="16"/>
          <w:szCs w:val="16"/>
        </w:rPr>
        <w:t>is known</w:t>
      </w:r>
      <w:proofErr w:type="gramEnd"/>
      <w:r w:rsidR="005C291D">
        <w:rPr>
          <w:rFonts w:ascii="Arial" w:eastAsia="Times New Roman" w:hAnsi="Arial" w:cs="Arial"/>
          <w:color w:val="333333"/>
          <w:sz w:val="16"/>
          <w:szCs w:val="16"/>
        </w:rPr>
        <w:t xml:space="preserve"> as</w:t>
      </w:r>
      <w:r w:rsidRPr="00DA604B">
        <w:rPr>
          <w:rFonts w:ascii="Arial" w:eastAsia="Times New Roman" w:hAnsi="Arial" w:cs="Arial"/>
          <w:color w:val="333333"/>
          <w:sz w:val="16"/>
          <w:szCs w:val="16"/>
        </w:rPr>
        <w:t xml:space="preserve"> the indexation lag, and is felt even more strongly in most indexed bonds traded abroad.</w:t>
      </w:r>
    </w:p>
    <w:bookmarkStart w:id="5" w:name="_ftn2"/>
    <w:p w:rsidR="00DA604B" w:rsidRPr="00DA604B" w:rsidRDefault="00DA604B" w:rsidP="005C291D">
      <w:pPr>
        <w:bidi w:val="0"/>
        <w:spacing w:after="0" w:line="240" w:lineRule="auto"/>
        <w:rPr>
          <w:rFonts w:ascii="Arial" w:eastAsia="Times New Roman" w:hAnsi="Arial" w:cs="Arial"/>
          <w:color w:val="333333"/>
          <w:sz w:val="16"/>
          <w:szCs w:val="16"/>
        </w:rPr>
      </w:pPr>
      <w:r w:rsidRPr="00DA604B">
        <w:rPr>
          <w:rFonts w:ascii="Arial" w:eastAsia="Times New Roman" w:hAnsi="Arial" w:cs="Arial"/>
          <w:color w:val="333333"/>
          <w:sz w:val="16"/>
          <w:szCs w:val="16"/>
        </w:rPr>
        <w:fldChar w:fldCharType="begin"/>
      </w:r>
      <w:r w:rsidRPr="00DA604B">
        <w:rPr>
          <w:rFonts w:ascii="Arial" w:eastAsia="Times New Roman" w:hAnsi="Arial" w:cs="Arial"/>
          <w:color w:val="333333"/>
          <w:sz w:val="16"/>
          <w:szCs w:val="16"/>
        </w:rPr>
        <w:instrText xml:space="preserve"> HYPERLINK "https://e.boi.org.il/en/DataAndStatistics/Pages/InflationExpectationsExplanation.aspx" \l "_ftnref2" </w:instrText>
      </w:r>
      <w:r w:rsidRPr="00DA604B">
        <w:rPr>
          <w:rFonts w:ascii="Arial" w:eastAsia="Times New Roman" w:hAnsi="Arial" w:cs="Arial"/>
          <w:color w:val="333333"/>
          <w:sz w:val="16"/>
          <w:szCs w:val="16"/>
        </w:rPr>
        <w:fldChar w:fldCharType="separate"/>
      </w:r>
      <w:r w:rsidRPr="00DA604B">
        <w:rPr>
          <w:rFonts w:ascii="Times New Roman" w:eastAsia="Times New Roman" w:hAnsi="Times New Roman" w:cs="Times New Roman"/>
          <w:color w:val="000000"/>
          <w:sz w:val="16"/>
          <w:szCs w:val="16"/>
          <w:u w:val="single"/>
        </w:rPr>
        <w:t>[2]</w:t>
      </w:r>
      <w:r w:rsidRPr="00DA604B">
        <w:rPr>
          <w:rFonts w:ascii="Arial" w:eastAsia="Times New Roman" w:hAnsi="Arial" w:cs="Arial"/>
          <w:color w:val="333333"/>
          <w:sz w:val="16"/>
          <w:szCs w:val="16"/>
        </w:rPr>
        <w:fldChar w:fldCharType="end"/>
      </w:r>
      <w:bookmarkEnd w:id="5"/>
      <w:r w:rsidRPr="00DA604B">
        <w:rPr>
          <w:rFonts w:ascii="Arial" w:eastAsia="Times New Roman" w:hAnsi="Arial" w:cs="Arial"/>
          <w:color w:val="333333"/>
          <w:sz w:val="16"/>
          <w:szCs w:val="16"/>
        </w:rPr>
        <w:t> </w:t>
      </w:r>
      <w:r w:rsidR="005C291D">
        <w:rPr>
          <w:rFonts w:ascii="Arial" w:eastAsia="Times New Roman" w:hAnsi="Arial" w:cs="Arial"/>
          <w:color w:val="333333"/>
          <w:sz w:val="16"/>
          <w:szCs w:val="16"/>
        </w:rPr>
        <w:t>R.</w:t>
      </w:r>
      <w:r w:rsidRPr="00DA604B">
        <w:rPr>
          <w:rFonts w:ascii="Arial" w:eastAsia="Times New Roman" w:hAnsi="Arial" w:cs="Arial"/>
          <w:color w:val="333333"/>
          <w:sz w:val="16"/>
          <w:szCs w:val="16"/>
        </w:rPr>
        <w:t xml:space="preserve"> Stein (2004), “Estimating the Risk Premi</w:t>
      </w:r>
      <w:r w:rsidR="005C291D">
        <w:rPr>
          <w:rFonts w:ascii="Arial" w:eastAsia="Times New Roman" w:hAnsi="Arial" w:cs="Arial"/>
          <w:color w:val="333333"/>
          <w:sz w:val="16"/>
          <w:szCs w:val="16"/>
        </w:rPr>
        <w:t>ums</w:t>
      </w:r>
      <w:r w:rsidRPr="00DA604B">
        <w:rPr>
          <w:rFonts w:ascii="Arial" w:eastAsia="Times New Roman" w:hAnsi="Arial" w:cs="Arial"/>
          <w:color w:val="333333"/>
          <w:sz w:val="16"/>
          <w:szCs w:val="16"/>
        </w:rPr>
        <w:t xml:space="preserve"> Inherent in Financial Asset Yields, Including in Inflation Expectations”, </w:t>
      </w:r>
      <w:r w:rsidRPr="005C291D">
        <w:rPr>
          <w:rFonts w:ascii="Arial" w:eastAsia="Times New Roman" w:hAnsi="Arial" w:cs="Arial"/>
          <w:i/>
          <w:iCs/>
          <w:color w:val="333333"/>
          <w:sz w:val="16"/>
          <w:szCs w:val="16"/>
        </w:rPr>
        <w:t>Bank of Israel Survey</w:t>
      </w:r>
      <w:r w:rsidRPr="00DA604B">
        <w:rPr>
          <w:rFonts w:ascii="Arial" w:eastAsia="Times New Roman" w:hAnsi="Arial" w:cs="Arial"/>
          <w:color w:val="333333"/>
          <w:sz w:val="16"/>
          <w:szCs w:val="16"/>
        </w:rPr>
        <w:t xml:space="preserve"> vol. 2</w:t>
      </w:r>
      <w:r w:rsidR="005C291D">
        <w:rPr>
          <w:rFonts w:ascii="Arial" w:eastAsia="Times New Roman" w:hAnsi="Arial" w:cs="Arial"/>
          <w:color w:val="333333"/>
          <w:sz w:val="16"/>
          <w:szCs w:val="16"/>
        </w:rPr>
        <w:t>;</w:t>
      </w:r>
      <w:r w:rsidRPr="00DA604B">
        <w:rPr>
          <w:rFonts w:ascii="Arial" w:eastAsia="Times New Roman" w:hAnsi="Arial" w:cs="Arial"/>
          <w:color w:val="333333"/>
          <w:sz w:val="16"/>
          <w:szCs w:val="16"/>
        </w:rPr>
        <w:t xml:space="preserve"> and </w:t>
      </w:r>
      <w:r w:rsidR="005C291D">
        <w:rPr>
          <w:rFonts w:ascii="Arial" w:eastAsia="Times New Roman" w:hAnsi="Arial" w:cs="Arial"/>
          <w:color w:val="333333"/>
          <w:sz w:val="16"/>
          <w:szCs w:val="16"/>
        </w:rPr>
        <w:t xml:space="preserve">E. </w:t>
      </w:r>
      <w:proofErr w:type="spellStart"/>
      <w:r w:rsidRPr="00DA604B">
        <w:rPr>
          <w:rFonts w:ascii="Arial" w:eastAsia="Times New Roman" w:hAnsi="Arial" w:cs="Arial"/>
          <w:color w:val="333333"/>
          <w:sz w:val="16"/>
          <w:szCs w:val="16"/>
        </w:rPr>
        <w:t>Azoulay</w:t>
      </w:r>
      <w:proofErr w:type="spellEnd"/>
      <w:r w:rsidRPr="00DA604B">
        <w:rPr>
          <w:rFonts w:ascii="Arial" w:eastAsia="Times New Roman" w:hAnsi="Arial" w:cs="Arial"/>
          <w:color w:val="333333"/>
          <w:sz w:val="16"/>
          <w:szCs w:val="16"/>
        </w:rPr>
        <w:t xml:space="preserve">, </w:t>
      </w:r>
      <w:r w:rsidR="005C291D">
        <w:rPr>
          <w:rFonts w:ascii="Arial" w:eastAsia="Times New Roman" w:hAnsi="Arial" w:cs="Arial"/>
          <w:color w:val="333333"/>
          <w:sz w:val="16"/>
          <w:szCs w:val="16"/>
        </w:rPr>
        <w:t xml:space="preserve">M. </w:t>
      </w:r>
      <w:r w:rsidRPr="00DA604B">
        <w:rPr>
          <w:rFonts w:ascii="Arial" w:eastAsia="Times New Roman" w:hAnsi="Arial" w:cs="Arial"/>
          <w:color w:val="333333"/>
          <w:sz w:val="16"/>
          <w:szCs w:val="16"/>
        </w:rPr>
        <w:t>Brenner,</w:t>
      </w:r>
      <w:r w:rsidR="005C291D">
        <w:rPr>
          <w:rFonts w:ascii="Arial" w:eastAsia="Times New Roman" w:hAnsi="Arial" w:cs="Arial"/>
          <w:color w:val="333333"/>
          <w:sz w:val="16"/>
          <w:szCs w:val="16"/>
        </w:rPr>
        <w:t xml:space="preserve"> Y.</w:t>
      </w:r>
      <w:r w:rsidRPr="00DA604B">
        <w:rPr>
          <w:rFonts w:ascii="Arial" w:eastAsia="Times New Roman" w:hAnsi="Arial" w:cs="Arial"/>
          <w:color w:val="333333"/>
          <w:sz w:val="16"/>
          <w:szCs w:val="16"/>
        </w:rPr>
        <w:t xml:space="preserve"> </w:t>
      </w:r>
      <w:proofErr w:type="spellStart"/>
      <w:r w:rsidRPr="00DA604B">
        <w:rPr>
          <w:rFonts w:ascii="Arial" w:eastAsia="Times New Roman" w:hAnsi="Arial" w:cs="Arial"/>
          <w:color w:val="333333"/>
          <w:sz w:val="16"/>
          <w:szCs w:val="16"/>
        </w:rPr>
        <w:t>Landskroner</w:t>
      </w:r>
      <w:proofErr w:type="spellEnd"/>
      <w:r w:rsidRPr="00DA604B">
        <w:rPr>
          <w:rFonts w:ascii="Arial" w:eastAsia="Times New Roman" w:hAnsi="Arial" w:cs="Arial"/>
          <w:color w:val="333333"/>
          <w:sz w:val="16"/>
          <w:szCs w:val="16"/>
        </w:rPr>
        <w:t xml:space="preserve">, and </w:t>
      </w:r>
      <w:r w:rsidR="005C291D">
        <w:rPr>
          <w:rFonts w:ascii="Arial" w:eastAsia="Times New Roman" w:hAnsi="Arial" w:cs="Arial"/>
          <w:color w:val="333333"/>
          <w:sz w:val="16"/>
          <w:szCs w:val="16"/>
        </w:rPr>
        <w:t xml:space="preserve">R. </w:t>
      </w:r>
      <w:r w:rsidRPr="00DA604B">
        <w:rPr>
          <w:rFonts w:ascii="Arial" w:eastAsia="Times New Roman" w:hAnsi="Arial" w:cs="Arial"/>
          <w:color w:val="333333"/>
          <w:sz w:val="16"/>
          <w:szCs w:val="16"/>
        </w:rPr>
        <w:t xml:space="preserve">Stein (2014), “Inflation Risk Premium Implied by Foreign Exchange Options”, </w:t>
      </w:r>
      <w:r w:rsidRPr="005C291D">
        <w:rPr>
          <w:rFonts w:ascii="Arial" w:eastAsia="Times New Roman" w:hAnsi="Arial" w:cs="Arial"/>
          <w:i/>
          <w:iCs/>
          <w:color w:val="333333"/>
          <w:sz w:val="16"/>
          <w:szCs w:val="16"/>
        </w:rPr>
        <w:t>Journal of Economics and Business</w:t>
      </w:r>
      <w:r w:rsidRPr="00DA604B">
        <w:rPr>
          <w:rFonts w:ascii="Arial" w:eastAsia="Times New Roman" w:hAnsi="Arial" w:cs="Arial"/>
          <w:color w:val="333333"/>
          <w:sz w:val="16"/>
          <w:szCs w:val="16"/>
        </w:rPr>
        <w:t xml:space="preserve">. </w:t>
      </w:r>
      <w:r w:rsidR="005C291D">
        <w:rPr>
          <w:rFonts w:ascii="Arial" w:eastAsia="Times New Roman" w:hAnsi="Arial" w:cs="Arial"/>
          <w:color w:val="333333"/>
          <w:sz w:val="16"/>
          <w:szCs w:val="16"/>
        </w:rPr>
        <w:t>There is also a</w:t>
      </w:r>
      <w:r w:rsidRPr="00DA604B">
        <w:rPr>
          <w:rFonts w:ascii="Arial" w:eastAsia="Times New Roman" w:hAnsi="Arial" w:cs="Arial"/>
          <w:color w:val="333333"/>
          <w:sz w:val="16"/>
          <w:szCs w:val="16"/>
        </w:rPr>
        <w:t xml:space="preserve"> study</w:t>
      </w:r>
      <w:r w:rsidR="005C291D">
        <w:rPr>
          <w:rFonts w:ascii="Arial" w:eastAsia="Times New Roman" w:hAnsi="Arial" w:cs="Arial"/>
          <w:color w:val="333333"/>
          <w:sz w:val="16"/>
          <w:szCs w:val="16"/>
        </w:rPr>
        <w:t xml:space="preserve"> that was</w:t>
      </w:r>
      <w:r w:rsidRPr="00DA604B">
        <w:rPr>
          <w:rFonts w:ascii="Arial" w:eastAsia="Times New Roman" w:hAnsi="Arial" w:cs="Arial"/>
          <w:color w:val="333333"/>
          <w:sz w:val="16"/>
          <w:szCs w:val="16"/>
        </w:rPr>
        <w:t xml:space="preserve"> conducted abroad</w:t>
      </w:r>
      <w:r w:rsidR="005C291D">
        <w:rPr>
          <w:rFonts w:ascii="Arial" w:eastAsia="Times New Roman" w:hAnsi="Arial" w:cs="Arial"/>
          <w:color w:val="333333"/>
          <w:sz w:val="16"/>
          <w:szCs w:val="16"/>
        </w:rPr>
        <w:t>:</w:t>
      </w:r>
      <w:r w:rsidRPr="00DA604B">
        <w:rPr>
          <w:rFonts w:ascii="Arial" w:eastAsia="Times New Roman" w:hAnsi="Arial" w:cs="Arial"/>
          <w:color w:val="333333"/>
          <w:sz w:val="16"/>
          <w:szCs w:val="16"/>
        </w:rPr>
        <w:t> </w:t>
      </w:r>
      <w:r w:rsidR="005C291D">
        <w:rPr>
          <w:rFonts w:ascii="Arial" w:eastAsia="Times New Roman" w:hAnsi="Arial" w:cs="Arial"/>
          <w:color w:val="333333"/>
          <w:sz w:val="16"/>
          <w:szCs w:val="16"/>
        </w:rPr>
        <w:t xml:space="preserve">Jens, </w:t>
      </w:r>
      <w:r w:rsidRPr="00DA604B">
        <w:rPr>
          <w:rFonts w:ascii="Arial" w:eastAsia="Times New Roman" w:hAnsi="Arial" w:cs="Arial"/>
          <w:color w:val="333333"/>
          <w:sz w:val="16"/>
          <w:szCs w:val="16"/>
        </w:rPr>
        <w:t>Christensen, Jose Lopez</w:t>
      </w:r>
      <w:r w:rsidR="005C291D">
        <w:rPr>
          <w:rFonts w:ascii="Arial" w:eastAsia="Times New Roman" w:hAnsi="Arial" w:cs="Arial"/>
          <w:color w:val="333333"/>
          <w:sz w:val="16"/>
          <w:szCs w:val="16"/>
        </w:rPr>
        <w:t>,</w:t>
      </w:r>
      <w:r w:rsidRPr="00DA604B">
        <w:rPr>
          <w:rFonts w:ascii="Arial" w:eastAsia="Times New Roman" w:hAnsi="Arial" w:cs="Arial"/>
          <w:color w:val="333333"/>
          <w:sz w:val="16"/>
          <w:szCs w:val="16"/>
        </w:rPr>
        <w:t xml:space="preserve"> and Glenn Rudebusch (2010), “Inflation Expectations and Risk Premiums in an Arbitrage-Free Model of Nominal and Real Bond Yields”, FRB of San Francisco Working Paper no. 2008-34.</w:t>
      </w:r>
    </w:p>
    <w:bookmarkStart w:id="6" w:name="_ftn3"/>
    <w:p w:rsidR="003E13AA" w:rsidRPr="00DA604B" w:rsidRDefault="00DA604B" w:rsidP="006D797E">
      <w:pPr>
        <w:bidi w:val="0"/>
        <w:spacing w:after="0" w:line="240" w:lineRule="auto"/>
        <w:rPr>
          <w:sz w:val="16"/>
          <w:szCs w:val="16"/>
        </w:rPr>
      </w:pPr>
      <w:r w:rsidRPr="00DA604B">
        <w:rPr>
          <w:rFonts w:ascii="Arial" w:eastAsia="Times New Roman" w:hAnsi="Arial" w:cs="Arial"/>
          <w:color w:val="333333"/>
          <w:sz w:val="16"/>
          <w:szCs w:val="16"/>
        </w:rPr>
        <w:lastRenderedPageBreak/>
        <w:fldChar w:fldCharType="begin"/>
      </w:r>
      <w:r w:rsidRPr="00DA604B">
        <w:rPr>
          <w:rFonts w:ascii="Arial" w:eastAsia="Times New Roman" w:hAnsi="Arial" w:cs="Arial"/>
          <w:color w:val="333333"/>
          <w:sz w:val="16"/>
          <w:szCs w:val="16"/>
        </w:rPr>
        <w:instrText xml:space="preserve"> HYPERLINK "https://e.boi.org.il/en/DataAndStatistics/Pages/InflationExpectationsExplanation.aspx" \l "_ftnref3" </w:instrText>
      </w:r>
      <w:r w:rsidRPr="00DA604B">
        <w:rPr>
          <w:rFonts w:ascii="Arial" w:eastAsia="Times New Roman" w:hAnsi="Arial" w:cs="Arial"/>
          <w:color w:val="333333"/>
          <w:sz w:val="16"/>
          <w:szCs w:val="16"/>
        </w:rPr>
        <w:fldChar w:fldCharType="separate"/>
      </w:r>
      <w:r w:rsidRPr="00DA604B">
        <w:rPr>
          <w:rFonts w:ascii="Times New Roman" w:eastAsia="Times New Roman" w:hAnsi="Times New Roman" w:cs="Times New Roman"/>
          <w:color w:val="000000"/>
          <w:sz w:val="16"/>
          <w:szCs w:val="16"/>
          <w:u w:val="single"/>
        </w:rPr>
        <w:t>[3]</w:t>
      </w:r>
      <w:r w:rsidRPr="00DA604B">
        <w:rPr>
          <w:rFonts w:ascii="Arial" w:eastAsia="Times New Roman" w:hAnsi="Arial" w:cs="Arial"/>
          <w:color w:val="333333"/>
          <w:sz w:val="16"/>
          <w:szCs w:val="16"/>
        </w:rPr>
        <w:fldChar w:fldCharType="end"/>
      </w:r>
      <w:bookmarkEnd w:id="6"/>
      <w:r w:rsidRPr="00DA604B">
        <w:rPr>
          <w:rFonts w:ascii="Arial" w:eastAsia="Times New Roman" w:hAnsi="Arial" w:cs="Arial"/>
          <w:color w:val="333333"/>
          <w:sz w:val="16"/>
          <w:szCs w:val="16"/>
        </w:rPr>
        <w:t xml:space="preserve"> The model is based on </w:t>
      </w:r>
      <w:r w:rsidR="003A26D2">
        <w:rPr>
          <w:rFonts w:ascii="Arial" w:eastAsia="Times New Roman" w:hAnsi="Arial" w:cs="Arial"/>
          <w:color w:val="333333"/>
          <w:sz w:val="16"/>
          <w:szCs w:val="16"/>
        </w:rPr>
        <w:t xml:space="preserve">A. </w:t>
      </w:r>
      <w:proofErr w:type="spellStart"/>
      <w:r w:rsidR="003A26D2">
        <w:rPr>
          <w:rFonts w:ascii="Arial" w:eastAsia="Times New Roman" w:hAnsi="Arial" w:cs="Arial"/>
          <w:color w:val="333333"/>
          <w:sz w:val="16"/>
          <w:szCs w:val="16"/>
        </w:rPr>
        <w:t>Sasi-</w:t>
      </w:r>
      <w:r w:rsidRPr="00DA604B">
        <w:rPr>
          <w:rFonts w:ascii="Arial" w:eastAsia="Times New Roman" w:hAnsi="Arial" w:cs="Arial"/>
          <w:color w:val="333333"/>
          <w:sz w:val="16"/>
          <w:szCs w:val="16"/>
        </w:rPr>
        <w:t>Brodesky</w:t>
      </w:r>
      <w:proofErr w:type="spellEnd"/>
      <w:r w:rsidRPr="00DA604B">
        <w:rPr>
          <w:rFonts w:ascii="Arial" w:eastAsia="Times New Roman" w:hAnsi="Arial" w:cs="Arial"/>
          <w:color w:val="333333"/>
          <w:sz w:val="16"/>
          <w:szCs w:val="16"/>
        </w:rPr>
        <w:t>, and N</w:t>
      </w:r>
      <w:r w:rsidR="003A26D2">
        <w:rPr>
          <w:rFonts w:ascii="Arial" w:eastAsia="Times New Roman" w:hAnsi="Arial" w:cs="Arial"/>
          <w:color w:val="333333"/>
          <w:sz w:val="16"/>
          <w:szCs w:val="16"/>
        </w:rPr>
        <w:t>.</w:t>
      </w:r>
      <w:r w:rsidRPr="00DA604B">
        <w:rPr>
          <w:rFonts w:ascii="Arial" w:eastAsia="Times New Roman" w:hAnsi="Arial" w:cs="Arial"/>
          <w:color w:val="333333"/>
          <w:sz w:val="16"/>
          <w:szCs w:val="16"/>
        </w:rPr>
        <w:t xml:space="preserve"> Steinberg (2011), “Improving the Yield Curve Estimation Model Implemented at the Bank of Israel”, BOI per</w:t>
      </w:r>
      <w:bookmarkStart w:id="7" w:name="_GoBack"/>
      <w:bookmarkEnd w:id="7"/>
      <w:r w:rsidRPr="00DA604B">
        <w:rPr>
          <w:rFonts w:ascii="Arial" w:eastAsia="Times New Roman" w:hAnsi="Arial" w:cs="Arial"/>
          <w:color w:val="333333"/>
          <w:sz w:val="16"/>
          <w:szCs w:val="16"/>
        </w:rPr>
        <w:t>iodic papers. </w:t>
      </w:r>
      <w:hyperlink r:id="rId5" w:history="1">
        <w:r w:rsidR="003A26D2" w:rsidRPr="003A2615">
          <w:rPr>
            <w:rStyle w:val="Hyperlink"/>
            <w:rFonts w:asciiTheme="minorBidi" w:eastAsia="Times New Roman" w:hAnsiTheme="minorBidi"/>
            <w:sz w:val="16"/>
            <w:szCs w:val="16"/>
          </w:rPr>
          <w:t>Https://www.boi.org.il/media/jotdlcsv/pp1101h.pdf</w:t>
        </w:r>
      </w:hyperlink>
      <w:r w:rsidRPr="003A2615">
        <w:rPr>
          <w:rFonts w:asciiTheme="minorBidi" w:eastAsia="Times New Roman" w:hAnsiTheme="minorBidi"/>
          <w:color w:val="333333"/>
          <w:sz w:val="16"/>
          <w:szCs w:val="16"/>
        </w:rPr>
        <w:t> (in Hebrew)</w:t>
      </w:r>
      <w:r w:rsidR="003A26D2" w:rsidRPr="003A2615">
        <w:rPr>
          <w:rFonts w:asciiTheme="minorBidi" w:eastAsia="Times New Roman" w:hAnsiTheme="minorBidi"/>
          <w:color w:val="333333"/>
          <w:sz w:val="16"/>
          <w:szCs w:val="16"/>
        </w:rPr>
        <w:t xml:space="preserve">; and R. Stein (2012), “The </w:t>
      </w:r>
      <w:r w:rsidR="006D797E" w:rsidRPr="003A2615">
        <w:rPr>
          <w:rFonts w:asciiTheme="minorBidi" w:eastAsia="Times New Roman" w:hAnsiTheme="minorBidi"/>
          <w:color w:val="333333"/>
          <w:sz w:val="16"/>
          <w:szCs w:val="16"/>
        </w:rPr>
        <w:t>Effect of Seasonality in the CPI</w:t>
      </w:r>
      <w:r w:rsidR="003A26D2" w:rsidRPr="003A2615">
        <w:rPr>
          <w:rFonts w:asciiTheme="minorBidi" w:eastAsia="Times New Roman" w:hAnsiTheme="minorBidi"/>
          <w:color w:val="333333"/>
          <w:sz w:val="16"/>
          <w:szCs w:val="16"/>
        </w:rPr>
        <w:t xml:space="preserve"> on Inflation Expectations”,</w:t>
      </w:r>
      <w:r w:rsidRPr="003A2615">
        <w:rPr>
          <w:rFonts w:asciiTheme="minorBidi" w:eastAsia="Times New Roman" w:hAnsiTheme="minorBidi"/>
          <w:color w:val="333333"/>
          <w:sz w:val="16"/>
          <w:szCs w:val="16"/>
        </w:rPr>
        <w:t> </w:t>
      </w:r>
      <w:hyperlink r:id="rId6" w:history="1">
        <w:r w:rsidR="006D797E" w:rsidRPr="003A2615">
          <w:rPr>
            <w:rStyle w:val="Hyperlink"/>
            <w:rFonts w:asciiTheme="minorBidi" w:eastAsia="Times New Roman" w:hAnsiTheme="minorBidi"/>
            <w:sz w:val="16"/>
            <w:szCs w:val="16"/>
          </w:rPr>
          <w:t>https://www.boi.org.il/en/economic-roles/research-and-publications/all-researches/occasional-papers/the-effect-of-seasonality-in-the-cpi-on-inflation-expectations/</w:t>
        </w:r>
      </w:hyperlink>
      <w:r w:rsidR="006D797E" w:rsidRPr="003A2615">
        <w:rPr>
          <w:rFonts w:asciiTheme="minorBidi" w:eastAsia="Times New Roman" w:hAnsiTheme="minorBidi"/>
          <w:sz w:val="16"/>
          <w:szCs w:val="16"/>
        </w:rPr>
        <w:t>.</w:t>
      </w:r>
    </w:p>
    <w:sectPr w:rsidR="003E13AA" w:rsidRPr="00DA604B" w:rsidSect="00EC32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4B"/>
    <w:rsid w:val="000104EC"/>
    <w:rsid w:val="00026EDD"/>
    <w:rsid w:val="00086388"/>
    <w:rsid w:val="00281199"/>
    <w:rsid w:val="00283008"/>
    <w:rsid w:val="002F4F1F"/>
    <w:rsid w:val="003A2615"/>
    <w:rsid w:val="003A26D2"/>
    <w:rsid w:val="003E0382"/>
    <w:rsid w:val="003E13AA"/>
    <w:rsid w:val="00440811"/>
    <w:rsid w:val="004F362E"/>
    <w:rsid w:val="005C291D"/>
    <w:rsid w:val="00625BD8"/>
    <w:rsid w:val="00654A6A"/>
    <w:rsid w:val="006B04FC"/>
    <w:rsid w:val="006D797E"/>
    <w:rsid w:val="00763B24"/>
    <w:rsid w:val="007D48ED"/>
    <w:rsid w:val="007E4B76"/>
    <w:rsid w:val="00983AA7"/>
    <w:rsid w:val="0099393E"/>
    <w:rsid w:val="00A75A60"/>
    <w:rsid w:val="00B32EFD"/>
    <w:rsid w:val="00BF3BF6"/>
    <w:rsid w:val="00C12604"/>
    <w:rsid w:val="00CF4A09"/>
    <w:rsid w:val="00DA604B"/>
    <w:rsid w:val="00E53EBF"/>
    <w:rsid w:val="00E9268E"/>
    <w:rsid w:val="00EC3214"/>
    <w:rsid w:val="00ED1B74"/>
    <w:rsid w:val="00FD38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F719996-78E8-4F37-9621-41EF25EC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DA604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A604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A604B"/>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DA604B"/>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DA60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A604B"/>
    <w:rPr>
      <w:color w:val="0000FF"/>
      <w:u w:val="single"/>
    </w:rPr>
  </w:style>
  <w:style w:type="character" w:styleId="a3">
    <w:name w:val="footnote reference"/>
    <w:basedOn w:val="a0"/>
    <w:uiPriority w:val="99"/>
    <w:semiHidden/>
    <w:unhideWhenUsed/>
    <w:rsid w:val="00DA604B"/>
  </w:style>
  <w:style w:type="character" w:styleId="FollowedHyperlink">
    <w:name w:val="FollowedHyperlink"/>
    <w:basedOn w:val="a0"/>
    <w:uiPriority w:val="99"/>
    <w:semiHidden/>
    <w:unhideWhenUsed/>
    <w:rsid w:val="003A2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88745">
      <w:bodyDiv w:val="1"/>
      <w:marLeft w:val="0"/>
      <w:marRight w:val="0"/>
      <w:marTop w:val="0"/>
      <w:marBottom w:val="0"/>
      <w:divBdr>
        <w:top w:val="none" w:sz="0" w:space="0" w:color="auto"/>
        <w:left w:val="none" w:sz="0" w:space="0" w:color="auto"/>
        <w:bottom w:val="none" w:sz="0" w:space="0" w:color="auto"/>
        <w:right w:val="none" w:sz="0" w:space="0" w:color="auto"/>
      </w:divBdr>
      <w:divsChild>
        <w:div w:id="951014353">
          <w:marLeft w:val="0"/>
          <w:marRight w:val="0"/>
          <w:marTop w:val="0"/>
          <w:marBottom w:val="0"/>
          <w:divBdr>
            <w:top w:val="none" w:sz="0" w:space="0" w:color="auto"/>
            <w:left w:val="none" w:sz="0" w:space="0" w:color="auto"/>
            <w:bottom w:val="none" w:sz="0" w:space="0" w:color="auto"/>
            <w:right w:val="none" w:sz="0" w:space="0" w:color="auto"/>
          </w:divBdr>
        </w:div>
        <w:div w:id="1512526625">
          <w:marLeft w:val="0"/>
          <w:marRight w:val="0"/>
          <w:marTop w:val="150"/>
          <w:marBottom w:val="150"/>
          <w:divBdr>
            <w:top w:val="none" w:sz="0" w:space="0" w:color="auto"/>
            <w:left w:val="none" w:sz="0" w:space="0" w:color="auto"/>
            <w:bottom w:val="none" w:sz="0" w:space="0" w:color="auto"/>
            <w:right w:val="none" w:sz="0" w:space="0" w:color="auto"/>
          </w:divBdr>
          <w:divsChild>
            <w:div w:id="413361747">
              <w:marLeft w:val="0"/>
              <w:marRight w:val="0"/>
              <w:marTop w:val="0"/>
              <w:marBottom w:val="0"/>
              <w:divBdr>
                <w:top w:val="none" w:sz="0" w:space="0" w:color="auto"/>
                <w:left w:val="none" w:sz="0" w:space="0" w:color="auto"/>
                <w:bottom w:val="none" w:sz="0" w:space="0" w:color="auto"/>
                <w:right w:val="none" w:sz="0" w:space="0" w:color="auto"/>
              </w:divBdr>
            </w:div>
            <w:div w:id="366952353">
              <w:marLeft w:val="0"/>
              <w:marRight w:val="0"/>
              <w:marTop w:val="0"/>
              <w:marBottom w:val="0"/>
              <w:divBdr>
                <w:top w:val="none" w:sz="0" w:space="0" w:color="auto"/>
                <w:left w:val="none" w:sz="0" w:space="0" w:color="auto"/>
                <w:bottom w:val="none" w:sz="0" w:space="0" w:color="auto"/>
                <w:right w:val="none" w:sz="0" w:space="0" w:color="auto"/>
              </w:divBdr>
            </w:div>
            <w:div w:id="291401304">
              <w:marLeft w:val="0"/>
              <w:marRight w:val="0"/>
              <w:marTop w:val="0"/>
              <w:marBottom w:val="0"/>
              <w:divBdr>
                <w:top w:val="none" w:sz="0" w:space="0" w:color="auto"/>
                <w:left w:val="none" w:sz="0" w:space="0" w:color="auto"/>
                <w:bottom w:val="none" w:sz="0" w:space="0" w:color="auto"/>
                <w:right w:val="none" w:sz="0" w:space="0" w:color="auto"/>
              </w:divBdr>
            </w:div>
            <w:div w:id="1456170290">
              <w:marLeft w:val="0"/>
              <w:marRight w:val="0"/>
              <w:marTop w:val="0"/>
              <w:marBottom w:val="0"/>
              <w:divBdr>
                <w:top w:val="none" w:sz="0" w:space="0" w:color="auto"/>
                <w:left w:val="none" w:sz="0" w:space="0" w:color="auto"/>
                <w:bottom w:val="none" w:sz="0" w:space="0" w:color="auto"/>
                <w:right w:val="none" w:sz="0" w:space="0" w:color="auto"/>
              </w:divBdr>
            </w:div>
            <w:div w:id="1137185013">
              <w:marLeft w:val="0"/>
              <w:marRight w:val="0"/>
              <w:marTop w:val="0"/>
              <w:marBottom w:val="0"/>
              <w:divBdr>
                <w:top w:val="none" w:sz="0" w:space="0" w:color="auto"/>
                <w:left w:val="none" w:sz="0" w:space="0" w:color="auto"/>
                <w:bottom w:val="none" w:sz="0" w:space="0" w:color="auto"/>
                <w:right w:val="none" w:sz="0" w:space="0" w:color="auto"/>
              </w:divBdr>
            </w:div>
            <w:div w:id="398402569">
              <w:marLeft w:val="0"/>
              <w:marRight w:val="0"/>
              <w:marTop w:val="0"/>
              <w:marBottom w:val="0"/>
              <w:divBdr>
                <w:top w:val="none" w:sz="0" w:space="0" w:color="auto"/>
                <w:left w:val="none" w:sz="0" w:space="0" w:color="auto"/>
                <w:bottom w:val="none" w:sz="0" w:space="0" w:color="auto"/>
                <w:right w:val="none" w:sz="0" w:space="0" w:color="auto"/>
              </w:divBdr>
            </w:div>
            <w:div w:id="2115048634">
              <w:marLeft w:val="0"/>
              <w:marRight w:val="0"/>
              <w:marTop w:val="0"/>
              <w:marBottom w:val="0"/>
              <w:divBdr>
                <w:top w:val="none" w:sz="0" w:space="0" w:color="auto"/>
                <w:left w:val="none" w:sz="0" w:space="0" w:color="auto"/>
                <w:bottom w:val="none" w:sz="0" w:space="0" w:color="auto"/>
                <w:right w:val="none" w:sz="0" w:space="0" w:color="auto"/>
              </w:divBdr>
            </w:div>
            <w:div w:id="534774249">
              <w:marLeft w:val="0"/>
              <w:marRight w:val="0"/>
              <w:marTop w:val="0"/>
              <w:marBottom w:val="0"/>
              <w:divBdr>
                <w:top w:val="none" w:sz="0" w:space="0" w:color="auto"/>
                <w:left w:val="none" w:sz="0" w:space="0" w:color="auto"/>
                <w:bottom w:val="none" w:sz="0" w:space="0" w:color="auto"/>
                <w:right w:val="none" w:sz="0" w:space="0" w:color="auto"/>
              </w:divBdr>
            </w:div>
            <w:div w:id="1231309578">
              <w:marLeft w:val="0"/>
              <w:marRight w:val="0"/>
              <w:marTop w:val="0"/>
              <w:marBottom w:val="0"/>
              <w:divBdr>
                <w:top w:val="none" w:sz="0" w:space="0" w:color="auto"/>
                <w:left w:val="none" w:sz="0" w:space="0" w:color="auto"/>
                <w:bottom w:val="none" w:sz="0" w:space="0" w:color="auto"/>
                <w:right w:val="none" w:sz="0" w:space="0" w:color="auto"/>
              </w:divBdr>
            </w:div>
            <w:div w:id="1833566681">
              <w:marLeft w:val="0"/>
              <w:marRight w:val="0"/>
              <w:marTop w:val="0"/>
              <w:marBottom w:val="0"/>
              <w:divBdr>
                <w:top w:val="none" w:sz="0" w:space="0" w:color="auto"/>
                <w:left w:val="none" w:sz="0" w:space="0" w:color="auto"/>
                <w:bottom w:val="none" w:sz="0" w:space="0" w:color="auto"/>
                <w:right w:val="none" w:sz="0" w:space="0" w:color="auto"/>
              </w:divBdr>
            </w:div>
            <w:div w:id="1932158761">
              <w:marLeft w:val="0"/>
              <w:marRight w:val="0"/>
              <w:marTop w:val="0"/>
              <w:marBottom w:val="0"/>
              <w:divBdr>
                <w:top w:val="none" w:sz="0" w:space="0" w:color="auto"/>
                <w:left w:val="none" w:sz="0" w:space="0" w:color="auto"/>
                <w:bottom w:val="none" w:sz="0" w:space="0" w:color="auto"/>
                <w:right w:val="none" w:sz="0" w:space="0" w:color="auto"/>
              </w:divBdr>
            </w:div>
            <w:div w:id="904799963">
              <w:marLeft w:val="0"/>
              <w:marRight w:val="0"/>
              <w:marTop w:val="0"/>
              <w:marBottom w:val="0"/>
              <w:divBdr>
                <w:top w:val="none" w:sz="0" w:space="0" w:color="auto"/>
                <w:left w:val="none" w:sz="0" w:space="0" w:color="auto"/>
                <w:bottom w:val="none" w:sz="0" w:space="0" w:color="auto"/>
                <w:right w:val="none" w:sz="0" w:space="0" w:color="auto"/>
              </w:divBdr>
            </w:div>
            <w:div w:id="924614164">
              <w:marLeft w:val="0"/>
              <w:marRight w:val="0"/>
              <w:marTop w:val="0"/>
              <w:marBottom w:val="0"/>
              <w:divBdr>
                <w:top w:val="none" w:sz="0" w:space="0" w:color="auto"/>
                <w:left w:val="none" w:sz="0" w:space="0" w:color="auto"/>
                <w:bottom w:val="none" w:sz="0" w:space="0" w:color="auto"/>
                <w:right w:val="none" w:sz="0" w:space="0" w:color="auto"/>
              </w:divBdr>
            </w:div>
            <w:div w:id="2054502715">
              <w:marLeft w:val="0"/>
              <w:marRight w:val="0"/>
              <w:marTop w:val="0"/>
              <w:marBottom w:val="0"/>
              <w:divBdr>
                <w:top w:val="none" w:sz="0" w:space="0" w:color="auto"/>
                <w:left w:val="none" w:sz="0" w:space="0" w:color="auto"/>
                <w:bottom w:val="none" w:sz="0" w:space="0" w:color="auto"/>
                <w:right w:val="none" w:sz="0" w:space="0" w:color="auto"/>
              </w:divBdr>
            </w:div>
            <w:div w:id="635186411">
              <w:marLeft w:val="0"/>
              <w:marRight w:val="0"/>
              <w:marTop w:val="0"/>
              <w:marBottom w:val="0"/>
              <w:divBdr>
                <w:top w:val="none" w:sz="0" w:space="0" w:color="auto"/>
                <w:left w:val="none" w:sz="0" w:space="0" w:color="auto"/>
                <w:bottom w:val="none" w:sz="0" w:space="0" w:color="auto"/>
                <w:right w:val="none" w:sz="0" w:space="0" w:color="auto"/>
              </w:divBdr>
            </w:div>
            <w:div w:id="1016271176">
              <w:marLeft w:val="0"/>
              <w:marRight w:val="0"/>
              <w:marTop w:val="0"/>
              <w:marBottom w:val="0"/>
              <w:divBdr>
                <w:top w:val="none" w:sz="0" w:space="0" w:color="auto"/>
                <w:left w:val="none" w:sz="0" w:space="0" w:color="auto"/>
                <w:bottom w:val="none" w:sz="0" w:space="0" w:color="auto"/>
                <w:right w:val="none" w:sz="0" w:space="0" w:color="auto"/>
              </w:divBdr>
            </w:div>
            <w:div w:id="59984292">
              <w:marLeft w:val="0"/>
              <w:marRight w:val="0"/>
              <w:marTop w:val="0"/>
              <w:marBottom w:val="0"/>
              <w:divBdr>
                <w:top w:val="none" w:sz="0" w:space="0" w:color="auto"/>
                <w:left w:val="none" w:sz="0" w:space="0" w:color="auto"/>
                <w:bottom w:val="none" w:sz="0" w:space="0" w:color="auto"/>
                <w:right w:val="none" w:sz="0" w:space="0" w:color="auto"/>
              </w:divBdr>
            </w:div>
            <w:div w:id="681511015">
              <w:marLeft w:val="0"/>
              <w:marRight w:val="0"/>
              <w:marTop w:val="0"/>
              <w:marBottom w:val="0"/>
              <w:divBdr>
                <w:top w:val="none" w:sz="0" w:space="0" w:color="auto"/>
                <w:left w:val="none" w:sz="0" w:space="0" w:color="auto"/>
                <w:bottom w:val="none" w:sz="0" w:space="0" w:color="auto"/>
                <w:right w:val="none" w:sz="0" w:space="0" w:color="auto"/>
              </w:divBdr>
            </w:div>
            <w:div w:id="1712075855">
              <w:marLeft w:val="0"/>
              <w:marRight w:val="0"/>
              <w:marTop w:val="0"/>
              <w:marBottom w:val="0"/>
              <w:divBdr>
                <w:top w:val="none" w:sz="0" w:space="0" w:color="auto"/>
                <w:left w:val="none" w:sz="0" w:space="0" w:color="auto"/>
                <w:bottom w:val="none" w:sz="0" w:space="0" w:color="auto"/>
                <w:right w:val="none" w:sz="0" w:space="0" w:color="auto"/>
              </w:divBdr>
            </w:div>
            <w:div w:id="1566069776">
              <w:marLeft w:val="0"/>
              <w:marRight w:val="0"/>
              <w:marTop w:val="0"/>
              <w:marBottom w:val="0"/>
              <w:divBdr>
                <w:top w:val="none" w:sz="0" w:space="0" w:color="auto"/>
                <w:left w:val="none" w:sz="0" w:space="0" w:color="auto"/>
                <w:bottom w:val="none" w:sz="0" w:space="0" w:color="auto"/>
                <w:right w:val="none" w:sz="0" w:space="0" w:color="auto"/>
              </w:divBdr>
            </w:div>
            <w:div w:id="15080234">
              <w:marLeft w:val="0"/>
              <w:marRight w:val="0"/>
              <w:marTop w:val="0"/>
              <w:marBottom w:val="0"/>
              <w:divBdr>
                <w:top w:val="none" w:sz="0" w:space="0" w:color="auto"/>
                <w:left w:val="none" w:sz="0" w:space="0" w:color="auto"/>
                <w:bottom w:val="none" w:sz="0" w:space="0" w:color="auto"/>
                <w:right w:val="none" w:sz="0" w:space="0" w:color="auto"/>
              </w:divBdr>
            </w:div>
            <w:div w:id="484473895">
              <w:marLeft w:val="0"/>
              <w:marRight w:val="0"/>
              <w:marTop w:val="0"/>
              <w:marBottom w:val="0"/>
              <w:divBdr>
                <w:top w:val="none" w:sz="0" w:space="0" w:color="auto"/>
                <w:left w:val="none" w:sz="0" w:space="0" w:color="auto"/>
                <w:bottom w:val="none" w:sz="0" w:space="0" w:color="auto"/>
                <w:right w:val="none" w:sz="0" w:space="0" w:color="auto"/>
              </w:divBdr>
            </w:div>
            <w:div w:id="84152937">
              <w:marLeft w:val="0"/>
              <w:marRight w:val="0"/>
              <w:marTop w:val="0"/>
              <w:marBottom w:val="0"/>
              <w:divBdr>
                <w:top w:val="none" w:sz="0" w:space="0" w:color="auto"/>
                <w:left w:val="none" w:sz="0" w:space="0" w:color="auto"/>
                <w:bottom w:val="none" w:sz="0" w:space="0" w:color="auto"/>
                <w:right w:val="none" w:sz="0" w:space="0" w:color="auto"/>
              </w:divBdr>
            </w:div>
            <w:div w:id="1288318957">
              <w:marLeft w:val="0"/>
              <w:marRight w:val="0"/>
              <w:marTop w:val="0"/>
              <w:marBottom w:val="0"/>
              <w:divBdr>
                <w:top w:val="none" w:sz="0" w:space="0" w:color="auto"/>
                <w:left w:val="none" w:sz="0" w:space="0" w:color="auto"/>
                <w:bottom w:val="none" w:sz="0" w:space="0" w:color="auto"/>
                <w:right w:val="none" w:sz="0" w:space="0" w:color="auto"/>
              </w:divBdr>
            </w:div>
            <w:div w:id="854687650">
              <w:marLeft w:val="0"/>
              <w:marRight w:val="0"/>
              <w:marTop w:val="0"/>
              <w:marBottom w:val="0"/>
              <w:divBdr>
                <w:top w:val="none" w:sz="0" w:space="0" w:color="auto"/>
                <w:left w:val="none" w:sz="0" w:space="0" w:color="auto"/>
                <w:bottom w:val="none" w:sz="0" w:space="0" w:color="auto"/>
                <w:right w:val="none" w:sz="0" w:space="0" w:color="auto"/>
              </w:divBdr>
            </w:div>
            <w:div w:id="600066383">
              <w:marLeft w:val="0"/>
              <w:marRight w:val="0"/>
              <w:marTop w:val="0"/>
              <w:marBottom w:val="0"/>
              <w:divBdr>
                <w:top w:val="none" w:sz="0" w:space="0" w:color="auto"/>
                <w:left w:val="none" w:sz="0" w:space="0" w:color="auto"/>
                <w:bottom w:val="none" w:sz="0" w:space="0" w:color="auto"/>
                <w:right w:val="none" w:sz="0" w:space="0" w:color="auto"/>
              </w:divBdr>
            </w:div>
            <w:div w:id="2035495617">
              <w:marLeft w:val="0"/>
              <w:marRight w:val="0"/>
              <w:marTop w:val="0"/>
              <w:marBottom w:val="0"/>
              <w:divBdr>
                <w:top w:val="none" w:sz="0" w:space="0" w:color="auto"/>
                <w:left w:val="none" w:sz="0" w:space="0" w:color="auto"/>
                <w:bottom w:val="none" w:sz="0" w:space="0" w:color="auto"/>
                <w:right w:val="none" w:sz="0" w:space="0" w:color="auto"/>
              </w:divBdr>
            </w:div>
            <w:div w:id="919755431">
              <w:marLeft w:val="0"/>
              <w:marRight w:val="0"/>
              <w:marTop w:val="0"/>
              <w:marBottom w:val="0"/>
              <w:divBdr>
                <w:top w:val="none" w:sz="0" w:space="0" w:color="auto"/>
                <w:left w:val="none" w:sz="0" w:space="0" w:color="auto"/>
                <w:bottom w:val="none" w:sz="0" w:space="0" w:color="auto"/>
                <w:right w:val="none" w:sz="0" w:space="0" w:color="auto"/>
              </w:divBdr>
              <w:divsChild>
                <w:div w:id="172190120">
                  <w:marLeft w:val="0"/>
                  <w:marRight w:val="0"/>
                  <w:marTop w:val="0"/>
                  <w:marBottom w:val="0"/>
                  <w:divBdr>
                    <w:top w:val="none" w:sz="0" w:space="0" w:color="auto"/>
                    <w:left w:val="none" w:sz="0" w:space="0" w:color="auto"/>
                    <w:bottom w:val="none" w:sz="0" w:space="0" w:color="auto"/>
                    <w:right w:val="none" w:sz="0" w:space="0" w:color="auto"/>
                  </w:divBdr>
                  <w:divsChild>
                    <w:div w:id="845824632">
                      <w:marLeft w:val="0"/>
                      <w:marRight w:val="0"/>
                      <w:marTop w:val="0"/>
                      <w:marBottom w:val="0"/>
                      <w:divBdr>
                        <w:top w:val="none" w:sz="0" w:space="0" w:color="auto"/>
                        <w:left w:val="none" w:sz="0" w:space="0" w:color="auto"/>
                        <w:bottom w:val="none" w:sz="0" w:space="0" w:color="auto"/>
                        <w:right w:val="none" w:sz="0" w:space="0" w:color="auto"/>
                      </w:divBdr>
                    </w:div>
                  </w:divsChild>
                </w:div>
                <w:div w:id="281770264">
                  <w:marLeft w:val="0"/>
                  <w:marRight w:val="0"/>
                  <w:marTop w:val="0"/>
                  <w:marBottom w:val="0"/>
                  <w:divBdr>
                    <w:top w:val="none" w:sz="0" w:space="0" w:color="auto"/>
                    <w:left w:val="none" w:sz="0" w:space="0" w:color="auto"/>
                    <w:bottom w:val="none" w:sz="0" w:space="0" w:color="auto"/>
                    <w:right w:val="none" w:sz="0" w:space="0" w:color="auto"/>
                  </w:divBdr>
                  <w:divsChild>
                    <w:div w:id="1731926455">
                      <w:marLeft w:val="0"/>
                      <w:marRight w:val="0"/>
                      <w:marTop w:val="0"/>
                      <w:marBottom w:val="0"/>
                      <w:divBdr>
                        <w:top w:val="none" w:sz="0" w:space="0" w:color="auto"/>
                        <w:left w:val="none" w:sz="0" w:space="0" w:color="auto"/>
                        <w:bottom w:val="none" w:sz="0" w:space="0" w:color="auto"/>
                        <w:right w:val="none" w:sz="0" w:space="0" w:color="auto"/>
                      </w:divBdr>
                    </w:div>
                  </w:divsChild>
                </w:div>
                <w:div w:id="591013635">
                  <w:marLeft w:val="0"/>
                  <w:marRight w:val="0"/>
                  <w:marTop w:val="0"/>
                  <w:marBottom w:val="0"/>
                  <w:divBdr>
                    <w:top w:val="none" w:sz="0" w:space="0" w:color="auto"/>
                    <w:left w:val="none" w:sz="0" w:space="0" w:color="auto"/>
                    <w:bottom w:val="none" w:sz="0" w:space="0" w:color="auto"/>
                    <w:right w:val="none" w:sz="0" w:space="0" w:color="auto"/>
                  </w:divBdr>
                  <w:divsChild>
                    <w:div w:id="1125270497">
                      <w:marLeft w:val="0"/>
                      <w:marRight w:val="0"/>
                      <w:marTop w:val="0"/>
                      <w:marBottom w:val="0"/>
                      <w:divBdr>
                        <w:top w:val="none" w:sz="0" w:space="0" w:color="auto"/>
                        <w:left w:val="none" w:sz="0" w:space="0" w:color="auto"/>
                        <w:bottom w:val="none" w:sz="0" w:space="0" w:color="auto"/>
                        <w:right w:val="none" w:sz="0" w:space="0" w:color="auto"/>
                      </w:divBdr>
                    </w:div>
                  </w:divsChild>
                </w:div>
                <w:div w:id="2082361802">
                  <w:marLeft w:val="0"/>
                  <w:marRight w:val="0"/>
                  <w:marTop w:val="0"/>
                  <w:marBottom w:val="0"/>
                  <w:divBdr>
                    <w:top w:val="none" w:sz="0" w:space="0" w:color="auto"/>
                    <w:left w:val="none" w:sz="0" w:space="0" w:color="auto"/>
                    <w:bottom w:val="none" w:sz="0" w:space="0" w:color="auto"/>
                    <w:right w:val="none" w:sz="0" w:space="0" w:color="auto"/>
                  </w:divBdr>
                  <w:divsChild>
                    <w:div w:id="665982787">
                      <w:marLeft w:val="0"/>
                      <w:marRight w:val="0"/>
                      <w:marTop w:val="0"/>
                      <w:marBottom w:val="0"/>
                      <w:divBdr>
                        <w:top w:val="none" w:sz="0" w:space="0" w:color="auto"/>
                        <w:left w:val="none" w:sz="0" w:space="0" w:color="auto"/>
                        <w:bottom w:val="none" w:sz="0" w:space="0" w:color="auto"/>
                        <w:right w:val="none" w:sz="0" w:space="0" w:color="auto"/>
                      </w:divBdr>
                    </w:div>
                  </w:divsChild>
                </w:div>
                <w:div w:id="2121952088">
                  <w:marLeft w:val="0"/>
                  <w:marRight w:val="0"/>
                  <w:marTop w:val="0"/>
                  <w:marBottom w:val="0"/>
                  <w:divBdr>
                    <w:top w:val="none" w:sz="0" w:space="0" w:color="auto"/>
                    <w:left w:val="none" w:sz="0" w:space="0" w:color="auto"/>
                    <w:bottom w:val="none" w:sz="0" w:space="0" w:color="auto"/>
                    <w:right w:val="none" w:sz="0" w:space="0" w:color="auto"/>
                  </w:divBdr>
                  <w:divsChild>
                    <w:div w:id="14627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i.org.il/en/economic-roles/research-and-publications/all-researches/occasional-papers/the-effect-of-seasonality-in-the-cpi-on-inflation-expectations/" TargetMode="External"/><Relationship Id="rId5" Type="http://schemas.openxmlformats.org/officeDocument/2006/relationships/hyperlink" Target="Https://www.boi.org.il/media/jotdlcsv/pp1101h.pdf" TargetMode="External"/><Relationship Id="rId4" Type="http://schemas.openxmlformats.org/officeDocument/2006/relationships/hyperlink" Target="https://www.boi.org.il/boi_files/Statistics/mns0603e_a.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1255</Words>
  <Characters>6277</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BOI</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אורי שניאור</cp:lastModifiedBy>
  <cp:revision>3</cp:revision>
  <dcterms:created xsi:type="dcterms:W3CDTF">2023-02-20T06:58:00Z</dcterms:created>
  <dcterms:modified xsi:type="dcterms:W3CDTF">2023-02-20T06:58:00Z</dcterms:modified>
</cp:coreProperties>
</file>